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993" w:tblpY="32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60"/>
      </w:tblGrid>
      <w:tr w:rsidR="004B7E44" w14:paraId="53ABCB69" w14:textId="77777777" w:rsidTr="004B7E44">
        <w:trPr>
          <w:trHeight w:val="2536"/>
        </w:trPr>
        <w:tc>
          <w:tcPr>
            <w:tcW w:w="8541" w:type="dxa"/>
            <w:tcBorders>
              <w:top w:val="nil"/>
              <w:left w:val="nil"/>
              <w:bottom w:val="nil"/>
              <w:right w:val="nil"/>
            </w:tcBorders>
          </w:tcPr>
          <w:bookmarkStart w:id="0" w:name="_GoBack"/>
          <w:bookmarkEnd w:id="0"/>
          <w:p w14:paraId="1FFCED1A" w14:textId="77777777" w:rsidR="004B7E44" w:rsidRDefault="004B7E44" w:rsidP="004B7E44">
            <w:r>
              <w:rPr>
                <w:noProof/>
                <w:lang w:val="en-US"/>
              </w:rPr>
              <mc:AlternateContent>
                <mc:Choice Requires="wps">
                  <w:drawing>
                    <wp:inline distT="0" distB="0" distL="0" distR="0" wp14:anchorId="4E683759" wp14:editId="0F202C73">
                      <wp:extent cx="5305646" cy="1821180"/>
                      <wp:effectExtent l="0" t="0" r="0" b="7620"/>
                      <wp:docPr id="8" name="Cuadro de texto 8"/>
                      <wp:cNvGraphicFramePr/>
                      <a:graphic xmlns:a="http://schemas.openxmlformats.org/drawingml/2006/main">
                        <a:graphicData uri="http://schemas.microsoft.com/office/word/2010/wordprocessingShape">
                          <wps:wsp>
                            <wps:cNvSpPr txBox="1"/>
                            <wps:spPr>
                              <a:xfrm>
                                <a:off x="0" y="0"/>
                                <a:ext cx="5305646" cy="1821180"/>
                              </a:xfrm>
                              <a:prstGeom prst="rect">
                                <a:avLst/>
                              </a:prstGeom>
                              <a:noFill/>
                              <a:ln w="6350">
                                <a:noFill/>
                              </a:ln>
                            </wps:spPr>
                            <wps:txbx>
                              <w:txbxContent>
                                <w:p w14:paraId="67B3DF86" w14:textId="77777777" w:rsidR="004B7E44" w:rsidRPr="004B7E44" w:rsidRDefault="00BB35BF" w:rsidP="004B7E44">
                                  <w:pPr>
                                    <w:pStyle w:val="Ttulo"/>
                                  </w:pPr>
                                  <w:r>
                                    <w:rPr>
                                      <w:lang w:bidi="es-ES"/>
                                    </w:rPr>
                                    <w:t xml:space="preserve">SECRETARÍA DE EDUCACIÓN </w:t>
                                  </w:r>
                                  <w:r w:rsidR="007D4ABF">
                                    <w:rPr>
                                      <w:lang w:bidi="es-ES"/>
                                    </w:rPr>
                                    <w:t xml:space="preserve">y cultura </w:t>
                                  </w:r>
                                  <w:r>
                                    <w:rPr>
                                      <w:lang w:bidi="es-ES"/>
                                    </w:rPr>
                                    <w:t>del tolima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683759" id="_x0000_t202" coordsize="21600,21600" o:spt="202" path="m,l,21600r21600,l21600,xe">
                      <v:stroke joinstyle="miter"/>
                      <v:path gradientshapeok="t" o:connecttype="rect"/>
                    </v:shapetype>
                    <v:shape id="Cuadro de texto 8" o:spid="_x0000_s1026" type="#_x0000_t202" style="width:417.75pt;height:14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" filled="f" stroked="f" strokeweight=".5pt">
                      <v:textbox>
                        <w:txbxContent>
                          <w:p w14:paraId="67B3DF86" w14:textId="77777777" w:rsidR="004B7E44" w:rsidRPr="004B7E44" w:rsidRDefault="00BB35BF" w:rsidP="004B7E44">
                            <w:pPr>
                              <w:pStyle w:val="Ttulo"/>
                            </w:pPr>
                            <w:r>
                              <w:rPr>
                                <w:lang w:bidi="es-ES"/>
                              </w:rPr>
                              <w:t xml:space="preserve">SECRETARÍA DE EDUCACIÓN </w:t>
                            </w:r>
                            <w:r w:rsidR="007D4ABF">
                              <w:rPr>
                                <w:lang w:bidi="es-ES"/>
                              </w:rPr>
                              <w:t xml:space="preserve">y cultura </w:t>
                            </w:r>
                            <w:r>
                              <w:rPr>
                                <w:lang w:bidi="es-ES"/>
                              </w:rPr>
                              <w:t>del tolima</w:t>
                            </w:r>
                          </w:p>
                        </w:txbxContent>
                      </v:textbox>
                      <w10:anchorlock/>
                    </v:shape>
                  </w:pict>
                </mc:Fallback>
              </mc:AlternateContent>
            </w:r>
          </w:p>
          <w:p w14:paraId="4520C0D5" w14:textId="77777777" w:rsidR="004B7E44" w:rsidRDefault="004B7E44" w:rsidP="004B7E44">
            <w:r>
              <w:rPr>
                <w:noProof/>
                <w:lang w:val="en-US"/>
              </w:rPr>
              <mc:AlternateContent>
                <mc:Choice Requires="wps">
                  <w:drawing>
                    <wp:inline distT="0" distB="0" distL="0" distR="0" wp14:anchorId="6055E675" wp14:editId="5A76F690">
                      <wp:extent cx="785611" cy="0"/>
                      <wp:effectExtent l="0" t="38100" r="52705" b="38100"/>
                      <wp:docPr id="5" name="Conector recto 5" descr="divisor de texto"/>
                      <wp:cNvGraphicFramePr/>
                      <a:graphic xmlns:a="http://schemas.openxmlformats.org/drawingml/2006/main">
                        <a:graphicData uri="http://schemas.microsoft.com/office/word/2010/wordprocessingShape">
                          <wps:wsp>
                            <wps:cNvCnPr/>
                            <wps:spPr>
                              <a:xfrm>
                                <a:off x="0" y="0"/>
                                <a:ext cx="785611"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22196F" id="Conector recto 5" o:spid="_x0000_s1026" alt="divisor de texto" style="visibility:visible;mso-wrap-style:square;mso-left-percent:-10001;mso-top-percent:-10001;mso-position-horizontal:absolute;mso-position-horizontal-relative:char;mso-position-vertical:absolute;mso-position-vertical-relative:line;mso-left-percent:-10001;mso-top-percent:-10001" from="0,0" to="61.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" strokecolor="white [3212]" strokeweight="6pt">
                      <w10:anchorlock/>
                    </v:line>
                  </w:pict>
                </mc:Fallback>
              </mc:AlternateContent>
            </w:r>
          </w:p>
          <w:p w14:paraId="149282AC" w14:textId="77777777" w:rsidR="004B7E44" w:rsidRDefault="004B7E44" w:rsidP="004B7E44">
            <w:r>
              <w:rPr>
                <w:noProof/>
                <w:lang w:val="en-US"/>
              </w:rPr>
              <mc:AlternateContent>
                <mc:Choice Requires="wps">
                  <w:drawing>
                    <wp:inline distT="0" distB="0" distL="0" distR="0" wp14:anchorId="20DDC6E9" wp14:editId="5F77D3AB">
                      <wp:extent cx="5346700" cy="1470660"/>
                      <wp:effectExtent l="0" t="0" r="0" b="0"/>
                      <wp:docPr id="3" name="Cuadro de texto 3"/>
                      <wp:cNvGraphicFramePr/>
                      <a:graphic xmlns:a="http://schemas.openxmlformats.org/drawingml/2006/main">
                        <a:graphicData uri="http://schemas.microsoft.com/office/word/2010/wordprocessingShape">
                          <wps:wsp>
                            <wps:cNvSpPr txBox="1"/>
                            <wps:spPr>
                              <a:xfrm>
                                <a:off x="0" y="0"/>
                                <a:ext cx="5346700" cy="1470660"/>
                              </a:xfrm>
                              <a:prstGeom prst="rect">
                                <a:avLst/>
                              </a:prstGeom>
                              <a:noFill/>
                              <a:ln w="6350">
                                <a:noFill/>
                              </a:ln>
                            </wps:spPr>
                            <wps:txbx>
                              <w:txbxContent>
                                <w:p w14:paraId="765BBE0A" w14:textId="16533CB2" w:rsidR="004B7E44" w:rsidRPr="004B7E44" w:rsidRDefault="00BB35BF" w:rsidP="004B7E44">
                                  <w:pPr>
                                    <w:pStyle w:val="Subttulo"/>
                                  </w:pPr>
                                  <w:r>
                                    <w:rPr>
                                      <w:lang w:bidi="es-ES"/>
                                    </w:rPr>
                                    <w:t>Informe de ejecución</w:t>
                                  </w:r>
                                  <w:r w:rsidR="00BE242C">
                                    <w:rPr>
                                      <w:lang w:bidi="es-ES"/>
                                    </w:rPr>
                                    <w:t xml:space="preserve"> semestral PO</w:t>
                                  </w:r>
                                  <w:r w:rsidR="004D4BFE">
                                    <w:rPr>
                                      <w:lang w:bidi="es-ES"/>
                                    </w:rPr>
                                    <w:t>A</w:t>
                                  </w:r>
                                  <w:r w:rsidR="00BE242C">
                                    <w:rPr>
                                      <w:lang w:bidi="es-ES"/>
                                    </w:rPr>
                                    <w:t>IV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DDC6E9" id="Cuadro de texto 3" o:spid="_x0000_s1027" type="#_x0000_t202" style="width:421pt;height:11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" filled="f" stroked="f" strokeweight=".5pt">
                      <v:textbox>
                        <w:txbxContent>
                          <w:p w14:paraId="765BBE0A" w14:textId="16533CB2" w:rsidR="004B7E44" w:rsidRPr="004B7E44" w:rsidRDefault="00BB35BF" w:rsidP="004B7E44">
                            <w:pPr>
                              <w:pStyle w:val="Subttulo"/>
                            </w:pPr>
                            <w:r>
                              <w:rPr>
                                <w:lang w:bidi="es-ES"/>
                              </w:rPr>
                              <w:t>Informe de ejecución</w:t>
                            </w:r>
                            <w:r w:rsidR="00BE242C">
                              <w:rPr>
                                <w:lang w:bidi="es-ES"/>
                              </w:rPr>
                              <w:t xml:space="preserve"> semestral PO</w:t>
                            </w:r>
                            <w:r w:rsidR="004D4BFE">
                              <w:rPr>
                                <w:lang w:bidi="es-ES"/>
                              </w:rPr>
                              <w:t>A</w:t>
                            </w:r>
                            <w:r w:rsidR="00BE242C">
                              <w:rPr>
                                <w:lang w:bidi="es-ES"/>
                              </w:rPr>
                              <w:t>IV 2022</w:t>
                            </w:r>
                          </w:p>
                        </w:txbxContent>
                      </v:textbox>
                      <w10:anchorlock/>
                    </v:shape>
                  </w:pict>
                </mc:Fallback>
              </mc:AlternateContent>
            </w:r>
          </w:p>
        </w:tc>
      </w:tr>
      <w:tr w:rsidR="004B7E44" w14:paraId="012FFEE0" w14:textId="77777777" w:rsidTr="004B7E44">
        <w:trPr>
          <w:trHeight w:val="3814"/>
        </w:trPr>
        <w:tc>
          <w:tcPr>
            <w:tcW w:w="8541" w:type="dxa"/>
            <w:tcBorders>
              <w:top w:val="nil"/>
              <w:left w:val="nil"/>
              <w:bottom w:val="nil"/>
              <w:right w:val="nil"/>
            </w:tcBorders>
            <w:vAlign w:val="bottom"/>
          </w:tcPr>
          <w:p w14:paraId="00A76D90" w14:textId="77777777" w:rsidR="004B7E44" w:rsidRDefault="004B7E44" w:rsidP="004B7E44">
            <w:r>
              <w:rPr>
                <w:noProof/>
                <w:lang w:val="en-US"/>
              </w:rPr>
              <mc:AlternateContent>
                <mc:Choice Requires="wps">
                  <w:drawing>
                    <wp:inline distT="0" distB="0" distL="0" distR="0" wp14:anchorId="508AAE26" wp14:editId="7347C23E">
                      <wp:extent cx="5943600" cy="469557"/>
                      <wp:effectExtent l="0" t="0" r="0" b="6985"/>
                      <wp:docPr id="6" name="Cuadro de texto 6"/>
                      <wp:cNvGraphicFramePr/>
                      <a:graphic xmlns:a="http://schemas.openxmlformats.org/drawingml/2006/main">
                        <a:graphicData uri="http://schemas.microsoft.com/office/word/2010/wordprocessingShape">
                          <wps:wsp>
                            <wps:cNvSpPr txBox="1"/>
                            <wps:spPr>
                              <a:xfrm>
                                <a:off x="0" y="0"/>
                                <a:ext cx="5943600" cy="469557"/>
                              </a:xfrm>
                              <a:prstGeom prst="rect">
                                <a:avLst/>
                              </a:prstGeom>
                              <a:noFill/>
                              <a:ln w="6350">
                                <a:noFill/>
                              </a:ln>
                            </wps:spPr>
                            <wps:txbx>
                              <w:txbxContent>
                                <w:p w14:paraId="019374C0" w14:textId="77777777" w:rsidR="004B7E44" w:rsidRPr="004B7E44" w:rsidRDefault="00BB35BF" w:rsidP="004B7E44">
                                  <w:pPr>
                                    <w:pStyle w:val="Ttulo1"/>
                                  </w:pPr>
                                  <w:r>
                                    <w:rPr>
                                      <w:lang w:bidi="es-ES"/>
                                    </w:rPr>
                                    <w:t>EQUIPO DE INSPECCIÓN Y VIGILANCIA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8AAE26" id="Cuadro de texto 6" o:spid="_x0000_s1028" type="#_x0000_t202" style="width:468pt;height:3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" filled="f" stroked="f" strokeweight=".5pt">
                      <v:textbox>
                        <w:txbxContent>
                          <w:p w14:paraId="019374C0" w14:textId="77777777" w:rsidR="004B7E44" w:rsidRPr="004B7E44" w:rsidRDefault="00BB35BF" w:rsidP="004B7E44">
                            <w:pPr>
                              <w:pStyle w:val="Ttulo1"/>
                            </w:pPr>
                            <w:r>
                              <w:rPr>
                                <w:lang w:bidi="es-ES"/>
                              </w:rPr>
                              <w:t>EQUIPO DE INSPECCIÓN Y VIGILANCIA</w:t>
                            </w:r>
                          </w:p>
                        </w:txbxContent>
                      </v:textbox>
                      <w10:anchorlock/>
                    </v:shape>
                  </w:pict>
                </mc:Fallback>
              </mc:AlternateContent>
            </w:r>
          </w:p>
          <w:p w14:paraId="3222EECD" w14:textId="77777777" w:rsidR="004B7E44" w:rsidRDefault="004B7E44" w:rsidP="004B7E44">
            <w:r>
              <w:rPr>
                <w:noProof/>
                <w:lang w:val="en-US"/>
              </w:rPr>
              <mc:AlternateContent>
                <mc:Choice Requires="wps">
                  <w:drawing>
                    <wp:inline distT="0" distB="0" distL="0" distR="0" wp14:anchorId="22F3A795" wp14:editId="7870B7B2">
                      <wp:extent cx="3040912" cy="605155"/>
                      <wp:effectExtent l="0" t="0" r="0" b="4445"/>
                      <wp:docPr id="7" name="Cuadro de texto 7"/>
                      <wp:cNvGraphicFramePr/>
                      <a:graphic xmlns:a="http://schemas.openxmlformats.org/drawingml/2006/main">
                        <a:graphicData uri="http://schemas.microsoft.com/office/word/2010/wordprocessingShape">
                          <wps:wsp>
                            <wps:cNvSpPr txBox="1"/>
                            <wps:spPr>
                              <a:xfrm>
                                <a:off x="0" y="0"/>
                                <a:ext cx="3040912" cy="605155"/>
                              </a:xfrm>
                              <a:prstGeom prst="rect">
                                <a:avLst/>
                              </a:prstGeom>
                              <a:noFill/>
                              <a:ln w="6350">
                                <a:noFill/>
                              </a:ln>
                            </wps:spPr>
                            <wps:txbx>
                              <w:txbxContent>
                                <w:p w14:paraId="48BCD244" w14:textId="77777777" w:rsidR="004B7E44" w:rsidRPr="004B7E44" w:rsidRDefault="00BB35BF" w:rsidP="004B7E44">
                                  <w:r>
                                    <w:rPr>
                                      <w:lang w:bidi="es-ES"/>
                                    </w:rPr>
                                    <w:t>Gobernación del Tolima, piso 8</w:t>
                                  </w:r>
                                </w:p>
                                <w:p w14:paraId="0EDB5961" w14:textId="77777777" w:rsidR="004B7E44" w:rsidRPr="004B7E44" w:rsidRDefault="00BB35BF" w:rsidP="004B7E44">
                                  <w:r>
                                    <w:rPr>
                                      <w:lang w:bidi="es-ES"/>
                                    </w:rPr>
                                    <w:t>Ibagué, Tolima.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F3A795" id="Cuadro de texto 7" o:spid="_x0000_s1029" type="#_x0000_t202" style="width:239.45pt;height:4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" filled="f" stroked="f" strokeweight=".5pt">
                      <v:textbox>
                        <w:txbxContent>
                          <w:p w14:paraId="48BCD244" w14:textId="77777777" w:rsidR="004B7E44" w:rsidRPr="004B7E44" w:rsidRDefault="00BB35BF" w:rsidP="004B7E44">
                            <w:r>
                              <w:rPr>
                                <w:lang w:bidi="es-ES"/>
                              </w:rPr>
                              <w:t>Gobernación del Tolima, piso 8</w:t>
                            </w:r>
                          </w:p>
                          <w:p w14:paraId="0EDB5961" w14:textId="77777777" w:rsidR="004B7E44" w:rsidRPr="004B7E44" w:rsidRDefault="00BB35BF" w:rsidP="004B7E44">
                            <w:r>
                              <w:rPr>
                                <w:lang w:bidi="es-ES"/>
                              </w:rPr>
                              <w:t>Ibagué, Tolima.</w:t>
                            </w:r>
                          </w:p>
                        </w:txbxContent>
                      </v:textbox>
                      <w10:anchorlock/>
                    </v:shape>
                  </w:pict>
                </mc:Fallback>
              </mc:AlternateContent>
            </w:r>
            <w:r>
              <w:rPr>
                <w:noProof/>
                <w:lang w:val="en-US"/>
              </w:rPr>
              <mc:AlternateContent>
                <mc:Choice Requires="wps">
                  <w:drawing>
                    <wp:inline distT="0" distB="0" distL="0" distR="0" wp14:anchorId="17442D30" wp14:editId="2D86584A">
                      <wp:extent cx="2522220" cy="605155"/>
                      <wp:effectExtent l="0" t="0" r="0" b="4445"/>
                      <wp:docPr id="10" name="Cuadro de texto 10"/>
                      <wp:cNvGraphicFramePr/>
                      <a:graphic xmlns:a="http://schemas.openxmlformats.org/drawingml/2006/main">
                        <a:graphicData uri="http://schemas.microsoft.com/office/word/2010/wordprocessingShape">
                          <wps:wsp>
                            <wps:cNvSpPr txBox="1"/>
                            <wps:spPr>
                              <a:xfrm>
                                <a:off x="0" y="0"/>
                                <a:ext cx="2522220" cy="605155"/>
                              </a:xfrm>
                              <a:prstGeom prst="rect">
                                <a:avLst/>
                              </a:prstGeom>
                              <a:noFill/>
                              <a:ln w="6350">
                                <a:noFill/>
                              </a:ln>
                            </wps:spPr>
                            <wps:txbx>
                              <w:txbxContent>
                                <w:p w14:paraId="00E5CB07" w14:textId="77777777" w:rsidR="004B7E44" w:rsidRDefault="004B7E44" w:rsidP="004B7E44">
                                  <w:r>
                                    <w:rPr>
                                      <w:lang w:bidi="es-ES"/>
                                    </w:rPr>
                                    <w:t>Teléfono</w:t>
                                  </w:r>
                                  <w:r w:rsidR="00460218">
                                    <w:rPr>
                                      <w:lang w:bidi="es-ES"/>
                                    </w:rPr>
                                    <w:t>: 2611111 Ex.1809</w:t>
                                  </w:r>
                                </w:p>
                                <w:p w14:paraId="0AAA7A74" w14:textId="77777777" w:rsidR="004B7E44" w:rsidRPr="004B7E44" w:rsidRDefault="00460218" w:rsidP="004B7E44">
                                  <w:r>
                                    <w:t>www.sedtolima.gov.co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442D30" id="Cuadro de texto 10" o:spid="_x0000_s1030" type="#_x0000_t202" style="width:198.6pt;height:4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" filled="f" stroked="f" strokeweight=".5pt">
                      <v:textbox>
                        <w:txbxContent>
                          <w:p w14:paraId="00E5CB07" w14:textId="77777777" w:rsidR="004B7E44" w:rsidRDefault="004B7E44" w:rsidP="004B7E44">
                            <w:r>
                              <w:rPr>
                                <w:lang w:bidi="es-ES"/>
                              </w:rPr>
                              <w:t>Teléfono</w:t>
                            </w:r>
                            <w:r w:rsidR="00460218">
                              <w:rPr>
                                <w:lang w:bidi="es-ES"/>
                              </w:rPr>
                              <w:t>: 2611111 Ex.1809</w:t>
                            </w:r>
                          </w:p>
                          <w:p w14:paraId="0AAA7A74" w14:textId="77777777" w:rsidR="004B7E44" w:rsidRPr="004B7E44" w:rsidRDefault="00460218" w:rsidP="004B7E44">
                            <w:r>
                              <w:t>www.sedtolima.gov.co</w:t>
                            </w:r>
                          </w:p>
                        </w:txbxContent>
                      </v:textbox>
                      <w10:anchorlock/>
                    </v:shape>
                  </w:pict>
                </mc:Fallback>
              </mc:AlternateContent>
            </w:r>
          </w:p>
        </w:tc>
      </w:tr>
    </w:tbl>
    <w:p w14:paraId="29519288" w14:textId="77777777" w:rsidR="004B7E44" w:rsidRDefault="004B7E44" w:rsidP="004B7E44"/>
    <w:p w14:paraId="396F419D" w14:textId="77777777" w:rsidR="004B7E44" w:rsidRDefault="00BB35BF">
      <w:pPr>
        <w:spacing w:after="200"/>
      </w:pPr>
      <w:r>
        <w:rPr>
          <w:noProof/>
          <w:lang w:val="en-US"/>
        </w:rPr>
        <mc:AlternateContent>
          <mc:Choice Requires="wps">
            <w:drawing>
              <wp:anchor distT="0" distB="0" distL="114300" distR="114300" simplePos="0" relativeHeight="251659264" behindDoc="1" locked="0" layoutInCell="1" allowOverlap="1" wp14:anchorId="15F5DE29" wp14:editId="1458851E">
                <wp:simplePos x="0" y="0"/>
                <wp:positionH relativeFrom="page">
                  <wp:align>left</wp:align>
                </wp:positionH>
                <wp:positionV relativeFrom="page">
                  <wp:posOffset>891540</wp:posOffset>
                </wp:positionV>
                <wp:extent cx="6748145" cy="8496300"/>
                <wp:effectExtent l="0" t="0" r="0" b="0"/>
                <wp:wrapNone/>
                <wp:docPr id="2" name="Rectángulo 2" descr="rectángulo de color"/>
                <wp:cNvGraphicFramePr/>
                <a:graphic xmlns:a="http://schemas.openxmlformats.org/drawingml/2006/main">
                  <a:graphicData uri="http://schemas.microsoft.com/office/word/2010/wordprocessingShape">
                    <wps:wsp>
                      <wps:cNvSpPr/>
                      <wps:spPr>
                        <a:xfrm>
                          <a:off x="0" y="0"/>
                          <a:ext cx="6748145" cy="84963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47D19C" id="Rectángulo 2" o:spid="_x0000_s1026" alt="rectángulo de color" style="position:absolute;margin-left:0;margin-top:70.2pt;width:531.35pt;height:669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" fillcolor="#a5300f [3204]" stroked="f" strokeweight="2pt">
                <w10:wrap anchorx="page" anchory="page"/>
              </v:rect>
            </w:pict>
          </mc:Fallback>
        </mc:AlternateContent>
      </w:r>
      <w:r w:rsidR="004B7E44">
        <w:rPr>
          <w:lang w:bidi="es-ES"/>
        </w:rPr>
        <w:br w:type="page"/>
      </w:r>
    </w:p>
    <w:p w14:paraId="7C34F554" w14:textId="77777777" w:rsidR="00BE242C" w:rsidRDefault="00BE242C" w:rsidP="0055726A">
      <w:pPr>
        <w:pStyle w:val="Ttulo2"/>
        <w:spacing w:after="500"/>
        <w:rPr>
          <w:sz w:val="36"/>
          <w:szCs w:val="36"/>
        </w:rPr>
      </w:pPr>
    </w:p>
    <w:p w14:paraId="16B49ACB" w14:textId="77777777" w:rsidR="004B7E44" w:rsidRPr="00BE242C" w:rsidRDefault="007D4ABF" w:rsidP="0055726A">
      <w:pPr>
        <w:pStyle w:val="Ttulo2"/>
        <w:spacing w:after="500"/>
        <w:rPr>
          <w:rFonts w:ascii="Arial Black" w:hAnsi="Arial Black" w:cstheme="minorHAnsi"/>
          <w:sz w:val="36"/>
          <w:szCs w:val="36"/>
        </w:rPr>
      </w:pPr>
      <w:r w:rsidRPr="00BE242C">
        <w:rPr>
          <w:rFonts w:ascii="Arial Black" w:hAnsi="Arial Black" w:cstheme="minorHAnsi"/>
          <w:sz w:val="36"/>
          <w:szCs w:val="36"/>
        </w:rPr>
        <w:t>PRESENTACIÓN</w:t>
      </w:r>
    </w:p>
    <w:p w14:paraId="29A31A37" w14:textId="180F9BCB" w:rsidR="00460218" w:rsidRPr="00BE242C" w:rsidRDefault="00BE242C" w:rsidP="00A14F25">
      <w:pPr>
        <w:spacing w:line="240" w:lineRule="auto"/>
        <w:jc w:val="both"/>
        <w:rPr>
          <w:rFonts w:cstheme="minorHAnsi"/>
          <w:noProof/>
          <w:color w:val="auto"/>
        </w:rPr>
      </w:pPr>
      <w:r w:rsidRPr="00BE242C">
        <w:rPr>
          <w:rFonts w:cstheme="minorHAnsi"/>
          <w:noProof/>
          <w:color w:val="auto"/>
        </w:rPr>
        <w:t>En el marco de las orientaciones de la Dirección de Fortalecimiento a la Gestión Territorial del Ministerio de Educación Nacional – MEN – para la formulación, desarrollo y evaluación del Plan Operativo Anual de Inspecc</w:t>
      </w:r>
      <w:r>
        <w:rPr>
          <w:rFonts w:cstheme="minorHAnsi"/>
          <w:noProof/>
          <w:color w:val="auto"/>
        </w:rPr>
        <w:t>ión y Vigilancia</w:t>
      </w:r>
      <w:r w:rsidR="004D4BFE">
        <w:rPr>
          <w:rFonts w:cstheme="minorHAnsi"/>
          <w:noProof/>
          <w:color w:val="auto"/>
        </w:rPr>
        <w:t xml:space="preserve"> – POAIV - </w:t>
      </w:r>
      <w:r>
        <w:rPr>
          <w:rFonts w:cstheme="minorHAnsi"/>
          <w:noProof/>
          <w:color w:val="auto"/>
        </w:rPr>
        <w:t xml:space="preserve"> que organizaron</w:t>
      </w:r>
      <w:r w:rsidRPr="00BE242C">
        <w:rPr>
          <w:rFonts w:cstheme="minorHAnsi"/>
          <w:noProof/>
          <w:color w:val="auto"/>
        </w:rPr>
        <w:t xml:space="preserve"> las entidades territoriales certificadas, presentamos los avances que ha logrado el Equipo de Inspección y Vigilancia de la Secretaría de Educación y Cultura del Tolima</w:t>
      </w:r>
      <w:r w:rsidR="00B06D33">
        <w:rPr>
          <w:rFonts w:cstheme="minorHAnsi"/>
          <w:noProof/>
          <w:color w:val="auto"/>
        </w:rPr>
        <w:t xml:space="preserve"> – EIV - </w:t>
      </w:r>
      <w:r w:rsidRPr="00BE242C">
        <w:rPr>
          <w:rFonts w:cstheme="minorHAnsi"/>
          <w:noProof/>
          <w:color w:val="auto"/>
        </w:rPr>
        <w:t>, en su compromiso de brindar acompañamiento, asistencia técnica y control, a las instituciones educativas del sector oficial y el grupo de establecimientos no oficiales que prestan el servicio educativo en los 46 municipios no certificados del departamento</w:t>
      </w:r>
      <w:r w:rsidR="00627B77">
        <w:rPr>
          <w:rFonts w:cstheme="minorHAnsi"/>
          <w:noProof/>
          <w:color w:val="auto"/>
        </w:rPr>
        <w:t xml:space="preserve"> del Tolima, durante el primer semestre del año 2022.</w:t>
      </w:r>
    </w:p>
    <w:p w14:paraId="713179DB" w14:textId="77777777" w:rsidR="00BE242C" w:rsidRDefault="00BE242C" w:rsidP="00A14F25">
      <w:pPr>
        <w:spacing w:line="240" w:lineRule="auto"/>
        <w:jc w:val="both"/>
        <w:rPr>
          <w:noProof/>
          <w:color w:val="auto"/>
        </w:rPr>
      </w:pPr>
    </w:p>
    <w:p w14:paraId="121CCA83" w14:textId="48B3391B" w:rsidR="00BE242C" w:rsidRDefault="00BE242C" w:rsidP="00A14F25">
      <w:pPr>
        <w:pStyle w:val="Texto"/>
        <w:jc w:val="both"/>
        <w:rPr>
          <w:i w:val="0"/>
          <w:noProof/>
        </w:rPr>
      </w:pPr>
      <w:r w:rsidRPr="00BE242C">
        <w:rPr>
          <w:i w:val="0"/>
          <w:noProof/>
        </w:rPr>
        <w:t>Despues de dos años de trabajo escolar fuera de las aulas, son varios los aprendizajes que están a la espera de su evaluación e imp</w:t>
      </w:r>
      <w:r w:rsidR="00C01025">
        <w:rPr>
          <w:i w:val="0"/>
          <w:noProof/>
        </w:rPr>
        <w:t>a</w:t>
      </w:r>
      <w:r w:rsidRPr="00BE242C">
        <w:rPr>
          <w:i w:val="0"/>
          <w:noProof/>
        </w:rPr>
        <w:t xml:space="preserve">cto, para incorporarlos a las practicas habituales de directivos y docentes. Por fortuna el conjunto de temas que sugirió la Subdirección de Fortalecimiento Institucional del MEN, coincidieron con las inquitudes del Equipo </w:t>
      </w:r>
      <w:r w:rsidR="00627B77">
        <w:rPr>
          <w:i w:val="0"/>
          <w:noProof/>
        </w:rPr>
        <w:t>de Inspección y Vigilancia del Tolima y buena parte de las expectativas de las instituciones educativas que decidieron, en el año 2022, retor</w:t>
      </w:r>
      <w:r w:rsidR="00C01025">
        <w:rPr>
          <w:i w:val="0"/>
          <w:noProof/>
        </w:rPr>
        <w:t>n</w:t>
      </w:r>
      <w:r w:rsidR="00627B77">
        <w:rPr>
          <w:i w:val="0"/>
          <w:noProof/>
        </w:rPr>
        <w:t>ar a la presencialidad</w:t>
      </w:r>
    </w:p>
    <w:p w14:paraId="7591B21E" w14:textId="77777777" w:rsidR="00BE242C" w:rsidRDefault="00BE242C" w:rsidP="00A14F25">
      <w:pPr>
        <w:pStyle w:val="Texto"/>
        <w:jc w:val="both"/>
        <w:rPr>
          <w:i w:val="0"/>
          <w:noProof/>
        </w:rPr>
      </w:pPr>
    </w:p>
    <w:p w14:paraId="45A25D75" w14:textId="1EA2A1C5" w:rsidR="00A14F25" w:rsidRDefault="00BE242C" w:rsidP="00A14F25">
      <w:pPr>
        <w:pStyle w:val="Texto"/>
        <w:jc w:val="both"/>
        <w:rPr>
          <w:i w:val="0"/>
          <w:noProof/>
        </w:rPr>
      </w:pPr>
      <w:r w:rsidRPr="00BE242C">
        <w:rPr>
          <w:i w:val="0"/>
          <w:noProof/>
        </w:rPr>
        <w:t xml:space="preserve">En este informe mostramos los avances de esos temas, sin dejar de lado los comentarios de docentes, directivos, padres y estudiantes, frente a las experiencias vividas en esos dos años de esfuerzos y </w:t>
      </w:r>
      <w:r w:rsidR="00627B77">
        <w:rPr>
          <w:i w:val="0"/>
          <w:noProof/>
        </w:rPr>
        <w:t>desafíos</w:t>
      </w:r>
      <w:r w:rsidRPr="00BE242C">
        <w:rPr>
          <w:i w:val="0"/>
          <w:noProof/>
        </w:rPr>
        <w:t xml:space="preserve">. </w:t>
      </w:r>
      <w:r w:rsidR="00627B77">
        <w:rPr>
          <w:i w:val="0"/>
          <w:noProof/>
        </w:rPr>
        <w:t>En este primer semestre del año e</w:t>
      </w:r>
      <w:r w:rsidRPr="00BE242C">
        <w:rPr>
          <w:i w:val="0"/>
          <w:noProof/>
        </w:rPr>
        <w:t xml:space="preserve">s evidente el compromiso de maestros, </w:t>
      </w:r>
      <w:r w:rsidR="00627B77">
        <w:rPr>
          <w:i w:val="0"/>
          <w:noProof/>
        </w:rPr>
        <w:t xml:space="preserve">directivos y administrativos </w:t>
      </w:r>
      <w:r w:rsidR="00A14F25">
        <w:rPr>
          <w:i w:val="0"/>
          <w:noProof/>
        </w:rPr>
        <w:t>en</w:t>
      </w:r>
      <w:r w:rsidRPr="00BE242C">
        <w:rPr>
          <w:i w:val="0"/>
          <w:noProof/>
        </w:rPr>
        <w:t xml:space="preserve"> garantizarle a estudiantes y comunidad en general, la prestación de un servicio educativo de calidad, valorando las experiencias compartidas en los años de</w:t>
      </w:r>
      <w:r w:rsidR="00627B77">
        <w:rPr>
          <w:i w:val="0"/>
          <w:noProof/>
        </w:rPr>
        <w:t xml:space="preserve"> trabajo en casa</w:t>
      </w:r>
      <w:r w:rsidR="00A14F25">
        <w:rPr>
          <w:i w:val="0"/>
          <w:noProof/>
        </w:rPr>
        <w:t xml:space="preserve"> y</w:t>
      </w:r>
      <w:r w:rsidR="00627B77">
        <w:rPr>
          <w:i w:val="0"/>
          <w:noProof/>
        </w:rPr>
        <w:t xml:space="preserve"> retorna</w:t>
      </w:r>
      <w:r w:rsidR="00C01025">
        <w:rPr>
          <w:i w:val="0"/>
          <w:noProof/>
        </w:rPr>
        <w:t>n</w:t>
      </w:r>
      <w:r w:rsidR="00627B77">
        <w:rPr>
          <w:i w:val="0"/>
          <w:noProof/>
        </w:rPr>
        <w:t>do a</w:t>
      </w:r>
      <w:r w:rsidR="00A14F25">
        <w:rPr>
          <w:i w:val="0"/>
          <w:noProof/>
        </w:rPr>
        <w:t xml:space="preserve"> la presencialidad con entusiasmo y optimismo. </w:t>
      </w:r>
    </w:p>
    <w:p w14:paraId="68ADBFCA" w14:textId="77777777" w:rsidR="00A14F25" w:rsidRDefault="00A14F25" w:rsidP="00A14F25">
      <w:pPr>
        <w:pStyle w:val="Texto"/>
        <w:jc w:val="both"/>
        <w:rPr>
          <w:i w:val="0"/>
          <w:noProof/>
        </w:rPr>
      </w:pPr>
    </w:p>
    <w:p w14:paraId="716B2161" w14:textId="704FB41A" w:rsidR="00627B77" w:rsidRDefault="00A14F25" w:rsidP="00A14F25">
      <w:pPr>
        <w:pStyle w:val="Texto"/>
        <w:jc w:val="both"/>
        <w:rPr>
          <w:i w:val="0"/>
          <w:noProof/>
        </w:rPr>
      </w:pPr>
      <w:r>
        <w:rPr>
          <w:i w:val="0"/>
          <w:noProof/>
        </w:rPr>
        <w:t xml:space="preserve">El informe también permite una evaluación, frente a lo logrado y lo que queda para resolver en el segundo semestre del año 2022. El equipo espera seguir contando con la voluntad de </w:t>
      </w:r>
      <w:r w:rsidR="00C01025">
        <w:rPr>
          <w:i w:val="0"/>
          <w:noProof/>
        </w:rPr>
        <w:t>l</w:t>
      </w:r>
      <w:r>
        <w:rPr>
          <w:i w:val="0"/>
          <w:noProof/>
        </w:rPr>
        <w:t xml:space="preserve">a alta dirección, pues las acciones deben ocurrir fuera de la capital del </w:t>
      </w:r>
      <w:r w:rsidR="00C01025">
        <w:rPr>
          <w:i w:val="0"/>
          <w:noProof/>
        </w:rPr>
        <w:t>D</w:t>
      </w:r>
      <w:r>
        <w:rPr>
          <w:i w:val="0"/>
          <w:noProof/>
        </w:rPr>
        <w:t xml:space="preserve">epartamento, muchas veces en más de un día de trabajo. </w:t>
      </w:r>
      <w:r w:rsidR="00627B77">
        <w:rPr>
          <w:i w:val="0"/>
          <w:noProof/>
        </w:rPr>
        <w:t xml:space="preserve">  </w:t>
      </w:r>
      <w:r w:rsidR="00BE242C" w:rsidRPr="00BE242C">
        <w:rPr>
          <w:i w:val="0"/>
          <w:noProof/>
        </w:rPr>
        <w:t xml:space="preserve"> </w:t>
      </w:r>
    </w:p>
    <w:p w14:paraId="35EC8970" w14:textId="77777777" w:rsidR="00627B77" w:rsidRDefault="00627B77" w:rsidP="00627B77">
      <w:pPr>
        <w:pStyle w:val="Texto"/>
        <w:rPr>
          <w:i w:val="0"/>
          <w:noProof/>
        </w:rPr>
      </w:pPr>
    </w:p>
    <w:p w14:paraId="4E6169A0" w14:textId="77777777" w:rsidR="00BE242C" w:rsidRPr="00BE242C" w:rsidRDefault="00BE242C" w:rsidP="00627B77">
      <w:pPr>
        <w:pStyle w:val="Texto"/>
        <w:rPr>
          <w:i w:val="0"/>
          <w:noProof/>
        </w:rPr>
      </w:pPr>
      <w:r w:rsidRPr="00BE242C">
        <w:rPr>
          <w:i w:val="0"/>
          <w:noProof/>
        </w:rPr>
        <w:t xml:space="preserve">       </w:t>
      </w:r>
    </w:p>
    <w:p w14:paraId="0A1DF419" w14:textId="77777777" w:rsidR="00BE242C" w:rsidRPr="00BE242C" w:rsidRDefault="00BE242C" w:rsidP="004B7E44">
      <w:pPr>
        <w:rPr>
          <w:color w:val="auto"/>
        </w:rPr>
      </w:pPr>
    </w:p>
    <w:p w14:paraId="3A2A15CF" w14:textId="77777777" w:rsidR="003D579E" w:rsidRDefault="003D579E" w:rsidP="004B7E44">
      <w:pPr>
        <w:rPr>
          <w:b/>
          <w:color w:val="auto"/>
          <w:sz w:val="36"/>
          <w:szCs w:val="36"/>
        </w:rPr>
      </w:pPr>
    </w:p>
    <w:p w14:paraId="3F02CD06" w14:textId="77777777" w:rsidR="00A14F25" w:rsidRDefault="00A14F25" w:rsidP="004B7E44">
      <w:pPr>
        <w:rPr>
          <w:rFonts w:ascii="Arial Black" w:hAnsi="Arial Black"/>
          <w:b/>
          <w:color w:val="auto"/>
          <w:sz w:val="36"/>
          <w:szCs w:val="36"/>
        </w:rPr>
      </w:pPr>
    </w:p>
    <w:p w14:paraId="52565AAF" w14:textId="77777777" w:rsidR="003B2A3A" w:rsidRDefault="003B2A3A" w:rsidP="004B7E44">
      <w:pPr>
        <w:rPr>
          <w:rFonts w:ascii="Arial Black" w:hAnsi="Arial Black"/>
          <w:b/>
          <w:color w:val="auto"/>
          <w:sz w:val="36"/>
          <w:szCs w:val="36"/>
        </w:rPr>
      </w:pPr>
    </w:p>
    <w:p w14:paraId="52287C20" w14:textId="77777777" w:rsidR="003B2A3A" w:rsidRDefault="003B2A3A" w:rsidP="004B7E44">
      <w:pPr>
        <w:rPr>
          <w:rFonts w:ascii="Arial Black" w:hAnsi="Arial Black"/>
          <w:b/>
          <w:color w:val="auto"/>
          <w:sz w:val="36"/>
          <w:szCs w:val="36"/>
        </w:rPr>
      </w:pPr>
    </w:p>
    <w:p w14:paraId="60F6E3C5" w14:textId="55E1CAA8" w:rsidR="00460218" w:rsidRPr="00BE242C" w:rsidRDefault="00BE242C" w:rsidP="004B7E44">
      <w:pPr>
        <w:rPr>
          <w:rFonts w:ascii="Arial Black" w:hAnsi="Arial Black"/>
          <w:b/>
          <w:color w:val="auto"/>
          <w:sz w:val="36"/>
          <w:szCs w:val="36"/>
        </w:rPr>
      </w:pPr>
      <w:r w:rsidRPr="00BE242C">
        <w:rPr>
          <w:rFonts w:ascii="Arial Black" w:hAnsi="Arial Black"/>
          <w:b/>
          <w:color w:val="auto"/>
          <w:sz w:val="36"/>
          <w:szCs w:val="36"/>
        </w:rPr>
        <w:t>BALANCE DEL DESARROLLO DEL POAIV 2022</w:t>
      </w:r>
    </w:p>
    <w:p w14:paraId="7A8CE53E" w14:textId="77777777" w:rsidR="00900E05" w:rsidRPr="00BE242C" w:rsidRDefault="00900E05" w:rsidP="004B7E44">
      <w:pPr>
        <w:rPr>
          <w:color w:val="auto"/>
          <w:sz w:val="36"/>
          <w:szCs w:val="36"/>
        </w:rPr>
      </w:pPr>
    </w:p>
    <w:p w14:paraId="3B684EEB" w14:textId="3CBD465A" w:rsidR="003B2A3A" w:rsidRDefault="00A14F25" w:rsidP="00A14F25">
      <w:pPr>
        <w:spacing w:line="240" w:lineRule="auto"/>
        <w:jc w:val="both"/>
        <w:rPr>
          <w:noProof/>
          <w:color w:val="auto"/>
        </w:rPr>
      </w:pPr>
      <w:r>
        <w:rPr>
          <w:noProof/>
          <w:color w:val="auto"/>
        </w:rPr>
        <w:t>Desde varios años atrás el MEN ha insistido en la conformación de un Equipo Interdisciplinario que lidere la formulación, desarrollo y evaluación del Plan Operativo Anual de Inspección y Vigilania – POAIV – por considerar la necesidad de un trabajo armónico y articulado entre las diferentes áreas de las secretaría</w:t>
      </w:r>
      <w:r w:rsidR="00C01025">
        <w:rPr>
          <w:noProof/>
          <w:color w:val="auto"/>
        </w:rPr>
        <w:t>s</w:t>
      </w:r>
      <w:r>
        <w:rPr>
          <w:noProof/>
          <w:color w:val="auto"/>
        </w:rPr>
        <w:t xml:space="preserve"> de educación.  </w:t>
      </w:r>
    </w:p>
    <w:p w14:paraId="77866909" w14:textId="77777777" w:rsidR="003B2A3A" w:rsidRDefault="003B2A3A" w:rsidP="00A14F25">
      <w:pPr>
        <w:spacing w:line="240" w:lineRule="auto"/>
        <w:jc w:val="both"/>
        <w:rPr>
          <w:noProof/>
          <w:color w:val="auto"/>
        </w:rPr>
      </w:pPr>
    </w:p>
    <w:p w14:paraId="7B0CD4DC" w14:textId="4440BCBE" w:rsidR="003B2A3A" w:rsidRDefault="00A14F25" w:rsidP="00A14F25">
      <w:pPr>
        <w:spacing w:line="240" w:lineRule="auto"/>
        <w:jc w:val="both"/>
        <w:rPr>
          <w:noProof/>
          <w:color w:val="auto"/>
        </w:rPr>
      </w:pPr>
      <w:r>
        <w:rPr>
          <w:noProof/>
          <w:color w:val="auto"/>
        </w:rPr>
        <w:t>Con este propósito, una</w:t>
      </w:r>
      <w:r w:rsidR="00BE242C" w:rsidRPr="00BE242C">
        <w:rPr>
          <w:noProof/>
          <w:color w:val="auto"/>
        </w:rPr>
        <w:t xml:space="preserve"> de las primeras acciones que ocurri</w:t>
      </w:r>
      <w:r>
        <w:rPr>
          <w:noProof/>
          <w:color w:val="auto"/>
        </w:rPr>
        <w:t>ó</w:t>
      </w:r>
      <w:r w:rsidR="00BE242C" w:rsidRPr="00BE242C">
        <w:rPr>
          <w:noProof/>
          <w:color w:val="auto"/>
        </w:rPr>
        <w:t xml:space="preserve"> al iniciar el año 2022</w:t>
      </w:r>
      <w:r w:rsidR="003B2A3A">
        <w:rPr>
          <w:noProof/>
          <w:color w:val="auto"/>
        </w:rPr>
        <w:t>,</w:t>
      </w:r>
      <w:r w:rsidR="00BE242C" w:rsidRPr="00BE242C">
        <w:rPr>
          <w:noProof/>
          <w:color w:val="auto"/>
        </w:rPr>
        <w:t xml:space="preserve"> se dirigió a convocar las directivas de las áreas de calidad educativa, cobertura y permanencia escolar, administrativa y de recursos para la educación, a conformar el Equipo Interdisciplinario de Inspección y Vigilancia</w:t>
      </w:r>
      <w:r w:rsidR="003B2A3A">
        <w:rPr>
          <w:noProof/>
          <w:color w:val="auto"/>
        </w:rPr>
        <w:t>;</w:t>
      </w:r>
      <w:r w:rsidR="00BE242C" w:rsidRPr="00BE242C">
        <w:rPr>
          <w:noProof/>
          <w:color w:val="auto"/>
        </w:rPr>
        <w:t xml:space="preserve"> </w:t>
      </w:r>
      <w:r w:rsidR="003B2A3A">
        <w:rPr>
          <w:noProof/>
          <w:color w:val="auto"/>
        </w:rPr>
        <w:t xml:space="preserve">para lograr el objetivo, el Equipo de Inspección y Vigilancia – EIV – integrado por Supervisores de Educación y Directores de Núcleo de Desarrollo Educativo, elaboró y </w:t>
      </w:r>
      <w:r w:rsidR="00BE242C" w:rsidRPr="00BE242C">
        <w:rPr>
          <w:noProof/>
          <w:color w:val="auto"/>
        </w:rPr>
        <w:t xml:space="preserve">presentó un proyecto de acto administrativo con el articulado preciso para que el equipo </w:t>
      </w:r>
      <w:r w:rsidR="003B2A3A">
        <w:rPr>
          <w:noProof/>
          <w:color w:val="auto"/>
        </w:rPr>
        <w:t xml:space="preserve">tuviera definida </w:t>
      </w:r>
      <w:r w:rsidR="00BE242C" w:rsidRPr="00BE242C">
        <w:rPr>
          <w:noProof/>
          <w:color w:val="auto"/>
        </w:rPr>
        <w:t>su acción y trabajara articuladamente</w:t>
      </w:r>
      <w:r w:rsidR="003B2A3A">
        <w:rPr>
          <w:noProof/>
          <w:color w:val="auto"/>
        </w:rPr>
        <w:t xml:space="preserve"> en función de garantizarle a los establecimientos edu</w:t>
      </w:r>
      <w:r w:rsidR="00C01025">
        <w:rPr>
          <w:noProof/>
          <w:color w:val="auto"/>
        </w:rPr>
        <w:t>c</w:t>
      </w:r>
      <w:r w:rsidR="003B2A3A">
        <w:rPr>
          <w:noProof/>
          <w:color w:val="auto"/>
        </w:rPr>
        <w:t xml:space="preserve">ativos, un acompañamiento oportuno e integral. Finalizado el primer semeste de año 2022, no se ha logrado esta tarea y el EIV, sigue liderando las acciones. </w:t>
      </w:r>
    </w:p>
    <w:p w14:paraId="10619B68" w14:textId="77777777" w:rsidR="003B2A3A" w:rsidRDefault="003B2A3A" w:rsidP="00A14F25">
      <w:pPr>
        <w:spacing w:line="240" w:lineRule="auto"/>
        <w:jc w:val="both"/>
        <w:rPr>
          <w:noProof/>
          <w:color w:val="auto"/>
        </w:rPr>
      </w:pPr>
    </w:p>
    <w:p w14:paraId="34761445" w14:textId="77777777" w:rsidR="00FD270A" w:rsidRDefault="003B2A3A" w:rsidP="00A14F25">
      <w:pPr>
        <w:spacing w:line="240" w:lineRule="auto"/>
        <w:jc w:val="both"/>
        <w:rPr>
          <w:noProof/>
          <w:color w:val="auto"/>
        </w:rPr>
      </w:pPr>
      <w:r>
        <w:rPr>
          <w:noProof/>
          <w:color w:val="auto"/>
        </w:rPr>
        <w:t xml:space="preserve">La primera tarea del EIV se concentró en analizar los temas propuestos por el MEN, para el POAIV 2022. Sin mayores comentarios se decidió seguir la propuesta, teniendo presente que existen acciones concretas que no figuran en la propuesta del MEN, pero que pueden figurar y desarrollarse en el espacio para otras tareas. Igual proceso ocurrió con la </w:t>
      </w:r>
      <w:r w:rsidR="00FD270A">
        <w:rPr>
          <w:noProof/>
          <w:color w:val="auto"/>
        </w:rPr>
        <w:t xml:space="preserve">elección de las instituciones y sedes educativas de los 46 municipios no certificados donde se desarrollarían las acciones. </w:t>
      </w:r>
    </w:p>
    <w:p w14:paraId="2D04DC27" w14:textId="77777777" w:rsidR="00FD270A" w:rsidRDefault="00FD270A" w:rsidP="00A14F25">
      <w:pPr>
        <w:spacing w:line="240" w:lineRule="auto"/>
        <w:jc w:val="both"/>
        <w:rPr>
          <w:noProof/>
          <w:color w:val="auto"/>
        </w:rPr>
      </w:pPr>
    </w:p>
    <w:p w14:paraId="0D1E9467" w14:textId="66024BDF" w:rsidR="00FD270A" w:rsidRDefault="00FD270A" w:rsidP="00A14F25">
      <w:pPr>
        <w:spacing w:line="240" w:lineRule="auto"/>
        <w:jc w:val="both"/>
        <w:rPr>
          <w:noProof/>
          <w:color w:val="auto"/>
        </w:rPr>
      </w:pPr>
      <w:r>
        <w:rPr>
          <w:noProof/>
          <w:color w:val="auto"/>
        </w:rPr>
        <w:t>A pesar de no haber logrado la conformación del Equipo Interdisciplinario de Inspección y Vigilancia mediante acto administrativo, se acordó invitar a los directores</w:t>
      </w:r>
      <w:r w:rsidR="003175B2">
        <w:rPr>
          <w:noProof/>
          <w:color w:val="auto"/>
        </w:rPr>
        <w:t xml:space="preserve"> de equipode gestión </w:t>
      </w:r>
      <w:r>
        <w:rPr>
          <w:noProof/>
          <w:color w:val="auto"/>
        </w:rPr>
        <w:t>y al equipo de profesionales de las diferentes áreas de la secretaría de educación y cultura y como en otros años, organizar acciones conjuntas o de apoyo en beneficio de los establecimientos educativos.</w:t>
      </w:r>
    </w:p>
    <w:p w14:paraId="6F68DD76" w14:textId="77777777" w:rsidR="00FD270A" w:rsidRDefault="00FD270A" w:rsidP="00A14F25">
      <w:pPr>
        <w:spacing w:line="240" w:lineRule="auto"/>
        <w:jc w:val="both"/>
        <w:rPr>
          <w:noProof/>
          <w:color w:val="auto"/>
        </w:rPr>
      </w:pPr>
    </w:p>
    <w:p w14:paraId="49F5A490" w14:textId="77777777" w:rsidR="00FD270A" w:rsidRDefault="00FD270A" w:rsidP="00A14F25">
      <w:pPr>
        <w:spacing w:line="240" w:lineRule="auto"/>
        <w:jc w:val="both"/>
        <w:rPr>
          <w:noProof/>
          <w:color w:val="auto"/>
        </w:rPr>
      </w:pPr>
    </w:p>
    <w:p w14:paraId="5B1C80DD" w14:textId="77777777" w:rsidR="00FD270A" w:rsidRDefault="00FD270A" w:rsidP="00A14F25">
      <w:pPr>
        <w:spacing w:line="240" w:lineRule="auto"/>
        <w:jc w:val="both"/>
        <w:rPr>
          <w:noProof/>
          <w:color w:val="auto"/>
        </w:rPr>
      </w:pPr>
    </w:p>
    <w:p w14:paraId="6471D2E5" w14:textId="77777777" w:rsidR="00FD270A" w:rsidRDefault="00FD270A" w:rsidP="00A14F25">
      <w:pPr>
        <w:spacing w:line="240" w:lineRule="auto"/>
        <w:jc w:val="both"/>
        <w:rPr>
          <w:noProof/>
          <w:color w:val="auto"/>
        </w:rPr>
      </w:pPr>
    </w:p>
    <w:p w14:paraId="115BEA2A" w14:textId="77777777" w:rsidR="00FD270A" w:rsidRDefault="00FD270A" w:rsidP="00A14F25">
      <w:pPr>
        <w:spacing w:line="240" w:lineRule="auto"/>
        <w:jc w:val="both"/>
        <w:rPr>
          <w:noProof/>
          <w:color w:val="auto"/>
        </w:rPr>
      </w:pPr>
    </w:p>
    <w:p w14:paraId="56F1EF7C" w14:textId="77777777" w:rsidR="00FD270A" w:rsidRDefault="00FD270A" w:rsidP="00A14F25">
      <w:pPr>
        <w:spacing w:line="240" w:lineRule="auto"/>
        <w:jc w:val="both"/>
        <w:rPr>
          <w:noProof/>
          <w:color w:val="auto"/>
        </w:rPr>
      </w:pPr>
    </w:p>
    <w:p w14:paraId="521635FB" w14:textId="77777777" w:rsidR="00FD270A" w:rsidRDefault="00FD270A" w:rsidP="00A14F25">
      <w:pPr>
        <w:spacing w:line="240" w:lineRule="auto"/>
        <w:jc w:val="both"/>
        <w:rPr>
          <w:noProof/>
          <w:color w:val="auto"/>
        </w:rPr>
      </w:pPr>
    </w:p>
    <w:p w14:paraId="5FA2F892" w14:textId="77777777" w:rsidR="00FD270A" w:rsidRDefault="00FD270A" w:rsidP="00A14F25">
      <w:pPr>
        <w:spacing w:line="240" w:lineRule="auto"/>
        <w:jc w:val="both"/>
        <w:rPr>
          <w:noProof/>
          <w:color w:val="auto"/>
        </w:rPr>
      </w:pPr>
    </w:p>
    <w:p w14:paraId="1234E838" w14:textId="77777777" w:rsidR="00FD270A" w:rsidRDefault="00FD270A" w:rsidP="00A14F25">
      <w:pPr>
        <w:spacing w:line="240" w:lineRule="auto"/>
        <w:jc w:val="both"/>
        <w:rPr>
          <w:noProof/>
          <w:color w:val="auto"/>
        </w:rPr>
      </w:pPr>
    </w:p>
    <w:p w14:paraId="06B2C5B9" w14:textId="77777777" w:rsidR="00FD270A" w:rsidRDefault="00FD270A" w:rsidP="00A14F25">
      <w:pPr>
        <w:spacing w:line="240" w:lineRule="auto"/>
        <w:jc w:val="both"/>
        <w:rPr>
          <w:noProof/>
          <w:color w:val="auto"/>
        </w:rPr>
      </w:pPr>
    </w:p>
    <w:p w14:paraId="67B098C1" w14:textId="77777777" w:rsidR="00FD270A" w:rsidRDefault="00FD270A" w:rsidP="00FD270A">
      <w:pPr>
        <w:spacing w:line="240" w:lineRule="auto"/>
        <w:jc w:val="center"/>
        <w:rPr>
          <w:b/>
          <w:bCs/>
          <w:noProof/>
          <w:color w:val="auto"/>
          <w:sz w:val="24"/>
          <w:szCs w:val="24"/>
        </w:rPr>
      </w:pPr>
    </w:p>
    <w:p w14:paraId="3183B60F" w14:textId="7E2EE268" w:rsidR="00FD270A" w:rsidRPr="00FD270A" w:rsidRDefault="00FD270A" w:rsidP="00FD270A">
      <w:pPr>
        <w:spacing w:line="240" w:lineRule="auto"/>
        <w:jc w:val="center"/>
        <w:rPr>
          <w:b/>
          <w:bCs/>
          <w:noProof/>
          <w:color w:val="auto"/>
          <w:sz w:val="24"/>
          <w:szCs w:val="24"/>
        </w:rPr>
      </w:pPr>
      <w:r w:rsidRPr="00FD270A">
        <w:rPr>
          <w:b/>
          <w:bCs/>
          <w:noProof/>
          <w:color w:val="auto"/>
          <w:sz w:val="24"/>
          <w:szCs w:val="24"/>
        </w:rPr>
        <w:t>Tabla 1. Avances de las acciones del POAIV desarrolladas en el primer semestre del año 2022, en el departamento del Tolima.</w:t>
      </w:r>
    </w:p>
    <w:p w14:paraId="1E545921" w14:textId="72575521" w:rsidR="00FD270A" w:rsidRPr="00BE242C" w:rsidRDefault="00FD270A" w:rsidP="00A14F25">
      <w:pPr>
        <w:spacing w:line="240" w:lineRule="auto"/>
        <w:jc w:val="both"/>
        <w:rPr>
          <w:color w:val="auto"/>
          <w:sz w:val="24"/>
          <w:szCs w:val="24"/>
        </w:rPr>
      </w:pPr>
    </w:p>
    <w:tbl>
      <w:tblPr>
        <w:tblW w:w="8200" w:type="dxa"/>
        <w:tblLayout w:type="fixed"/>
        <w:tblCellMar>
          <w:left w:w="70" w:type="dxa"/>
          <w:right w:w="70" w:type="dxa"/>
        </w:tblCellMar>
        <w:tblLook w:val="04A0" w:firstRow="1" w:lastRow="0" w:firstColumn="1" w:lastColumn="0" w:noHBand="0" w:noVBand="1"/>
      </w:tblPr>
      <w:tblGrid>
        <w:gridCol w:w="2560"/>
        <w:gridCol w:w="1900"/>
        <w:gridCol w:w="1460"/>
        <w:gridCol w:w="2280"/>
      </w:tblGrid>
      <w:tr w:rsidR="00FD270A" w:rsidRPr="00885310" w14:paraId="4C417301" w14:textId="77777777" w:rsidTr="00501902">
        <w:trPr>
          <w:trHeight w:val="612"/>
        </w:trPr>
        <w:tc>
          <w:tcPr>
            <w:tcW w:w="2560" w:type="dxa"/>
            <w:tcBorders>
              <w:top w:val="single" w:sz="8" w:space="0" w:color="auto"/>
              <w:left w:val="single" w:sz="8" w:space="0" w:color="auto"/>
              <w:bottom w:val="single" w:sz="8" w:space="0" w:color="auto"/>
              <w:right w:val="single" w:sz="8" w:space="0" w:color="auto"/>
            </w:tcBorders>
            <w:shd w:val="clear" w:color="4472C4" w:fill="4472C4"/>
            <w:vAlign w:val="center"/>
            <w:hideMark/>
          </w:tcPr>
          <w:p w14:paraId="24EC0E66" w14:textId="77777777" w:rsidR="00FD270A" w:rsidRPr="00885310" w:rsidRDefault="00FD270A" w:rsidP="00501902">
            <w:pPr>
              <w:jc w:val="center"/>
              <w:rPr>
                <w:rFonts w:ascii="Calibri" w:eastAsia="Times New Roman" w:hAnsi="Calibri" w:cs="Calibri"/>
                <w:b/>
                <w:bCs/>
                <w:color w:val="FFFFFF"/>
                <w:sz w:val="23"/>
                <w:szCs w:val="23"/>
                <w:lang w:val="es-MX" w:eastAsia="es-MX"/>
              </w:rPr>
            </w:pPr>
            <w:r w:rsidRPr="00885310">
              <w:rPr>
                <w:rFonts w:ascii="Calibri" w:eastAsia="Times New Roman" w:hAnsi="Calibri" w:cs="Calibri"/>
                <w:b/>
                <w:bCs/>
                <w:color w:val="FFFFFF"/>
                <w:sz w:val="23"/>
                <w:szCs w:val="23"/>
                <w:lang w:val="es-MX" w:eastAsia="es-MX"/>
              </w:rPr>
              <w:t>TEMAS</w:t>
            </w:r>
          </w:p>
        </w:tc>
        <w:tc>
          <w:tcPr>
            <w:tcW w:w="1900" w:type="dxa"/>
            <w:tcBorders>
              <w:top w:val="single" w:sz="8" w:space="0" w:color="auto"/>
              <w:left w:val="single" w:sz="8" w:space="0" w:color="auto"/>
              <w:bottom w:val="single" w:sz="8" w:space="0" w:color="auto"/>
              <w:right w:val="single" w:sz="8" w:space="0" w:color="auto"/>
            </w:tcBorders>
            <w:shd w:val="clear" w:color="4472C4" w:fill="4472C4"/>
            <w:vAlign w:val="center"/>
            <w:hideMark/>
          </w:tcPr>
          <w:p w14:paraId="0EF11681" w14:textId="77777777" w:rsidR="00FD270A" w:rsidRPr="00885310" w:rsidRDefault="00FD270A" w:rsidP="00501902">
            <w:pPr>
              <w:jc w:val="center"/>
              <w:rPr>
                <w:rFonts w:ascii="Calibri" w:eastAsia="Times New Roman" w:hAnsi="Calibri" w:cs="Calibri"/>
                <w:b/>
                <w:bCs/>
                <w:color w:val="FFFFFF"/>
                <w:sz w:val="23"/>
                <w:szCs w:val="23"/>
                <w:lang w:val="es-MX" w:eastAsia="es-MX"/>
              </w:rPr>
            </w:pPr>
            <w:r w:rsidRPr="00885310">
              <w:rPr>
                <w:rFonts w:ascii="Calibri" w:eastAsia="Times New Roman" w:hAnsi="Calibri" w:cs="Calibri"/>
                <w:b/>
                <w:bCs/>
                <w:color w:val="FFFFFF"/>
                <w:sz w:val="23"/>
                <w:szCs w:val="23"/>
                <w:lang w:val="es-MX" w:eastAsia="es-MX"/>
              </w:rPr>
              <w:t>EE. PROGRAMADOS</w:t>
            </w:r>
          </w:p>
        </w:tc>
        <w:tc>
          <w:tcPr>
            <w:tcW w:w="1460" w:type="dxa"/>
            <w:tcBorders>
              <w:top w:val="single" w:sz="8" w:space="0" w:color="auto"/>
              <w:left w:val="single" w:sz="8" w:space="0" w:color="auto"/>
              <w:bottom w:val="single" w:sz="8" w:space="0" w:color="auto"/>
              <w:right w:val="single" w:sz="8" w:space="0" w:color="auto"/>
            </w:tcBorders>
            <w:shd w:val="clear" w:color="4472C4" w:fill="4472C4"/>
            <w:vAlign w:val="center"/>
            <w:hideMark/>
          </w:tcPr>
          <w:p w14:paraId="51F91639" w14:textId="77777777" w:rsidR="00FD270A" w:rsidRPr="00885310" w:rsidRDefault="00FD270A" w:rsidP="00501902">
            <w:pPr>
              <w:jc w:val="center"/>
              <w:rPr>
                <w:rFonts w:ascii="Calibri" w:eastAsia="Times New Roman" w:hAnsi="Calibri" w:cs="Calibri"/>
                <w:b/>
                <w:bCs/>
                <w:color w:val="FFFFFF"/>
                <w:sz w:val="23"/>
                <w:szCs w:val="23"/>
                <w:lang w:val="es-MX" w:eastAsia="es-MX"/>
              </w:rPr>
            </w:pPr>
            <w:r w:rsidRPr="00885310">
              <w:rPr>
                <w:rFonts w:ascii="Calibri" w:eastAsia="Times New Roman" w:hAnsi="Calibri" w:cs="Calibri"/>
                <w:b/>
                <w:bCs/>
                <w:color w:val="FFFFFF"/>
                <w:sz w:val="23"/>
                <w:szCs w:val="23"/>
                <w:lang w:val="es-MX" w:eastAsia="es-MX"/>
              </w:rPr>
              <w:t>EE. ATENDIDOS</w:t>
            </w:r>
          </w:p>
        </w:tc>
        <w:tc>
          <w:tcPr>
            <w:tcW w:w="2280" w:type="dxa"/>
            <w:tcBorders>
              <w:top w:val="single" w:sz="8" w:space="0" w:color="auto"/>
              <w:left w:val="single" w:sz="8" w:space="0" w:color="auto"/>
              <w:bottom w:val="single" w:sz="8" w:space="0" w:color="auto"/>
              <w:right w:val="single" w:sz="8" w:space="0" w:color="auto"/>
            </w:tcBorders>
            <w:shd w:val="clear" w:color="4472C4" w:fill="4472C4"/>
            <w:vAlign w:val="center"/>
            <w:hideMark/>
          </w:tcPr>
          <w:p w14:paraId="5BD66DDC" w14:textId="77777777" w:rsidR="00FD270A" w:rsidRPr="00885310" w:rsidRDefault="00FD270A" w:rsidP="00501902">
            <w:pPr>
              <w:jc w:val="center"/>
              <w:rPr>
                <w:rFonts w:ascii="Calibri" w:eastAsia="Times New Roman" w:hAnsi="Calibri" w:cs="Calibri"/>
                <w:b/>
                <w:bCs/>
                <w:color w:val="FFFFFF"/>
                <w:sz w:val="23"/>
                <w:szCs w:val="23"/>
                <w:lang w:val="es-MX" w:eastAsia="es-MX"/>
              </w:rPr>
            </w:pPr>
            <w:r w:rsidRPr="00885310">
              <w:rPr>
                <w:rFonts w:ascii="Calibri" w:eastAsia="Times New Roman" w:hAnsi="Calibri" w:cs="Calibri"/>
                <w:b/>
                <w:bCs/>
                <w:color w:val="FFFFFF"/>
                <w:sz w:val="23"/>
                <w:szCs w:val="23"/>
                <w:lang w:val="es-MX" w:eastAsia="es-MX"/>
              </w:rPr>
              <w:t>PORCENTAJE DE AVANCE</w:t>
            </w:r>
          </w:p>
        </w:tc>
      </w:tr>
      <w:tr w:rsidR="00FD270A" w:rsidRPr="00885310" w14:paraId="2FCDBF51" w14:textId="77777777" w:rsidTr="00501902">
        <w:trPr>
          <w:trHeight w:val="600"/>
        </w:trPr>
        <w:tc>
          <w:tcPr>
            <w:tcW w:w="2560" w:type="dxa"/>
            <w:tcBorders>
              <w:top w:val="single" w:sz="4" w:space="0" w:color="8EA9DB"/>
              <w:left w:val="single" w:sz="8" w:space="0" w:color="auto"/>
              <w:bottom w:val="single" w:sz="4" w:space="0" w:color="auto"/>
              <w:right w:val="single" w:sz="8" w:space="0" w:color="auto"/>
            </w:tcBorders>
            <w:shd w:val="clear" w:color="D9E1F2" w:fill="D9E1F2"/>
            <w:hideMark/>
          </w:tcPr>
          <w:p w14:paraId="05E5BE4A" w14:textId="73015A63" w:rsidR="00FD270A" w:rsidRPr="00885310" w:rsidRDefault="00FD270A" w:rsidP="00501902">
            <w:pPr>
              <w:rPr>
                <w:rFonts w:ascii="Calibri" w:eastAsia="Times New Roman" w:hAnsi="Calibri" w:cs="Calibri"/>
                <w:color w:val="000000"/>
                <w:sz w:val="23"/>
                <w:szCs w:val="23"/>
                <w:lang w:val="es-MX" w:eastAsia="es-MX"/>
              </w:rPr>
            </w:pPr>
            <w:r w:rsidRPr="00885310">
              <w:rPr>
                <w:rFonts w:ascii="Calibri" w:eastAsia="Times New Roman" w:hAnsi="Calibri" w:cs="Calibri"/>
                <w:color w:val="000000"/>
                <w:sz w:val="23"/>
                <w:szCs w:val="23"/>
                <w:lang w:val="es-MX" w:eastAsia="es-MX"/>
              </w:rPr>
              <w:t>Retorno a la presencialidad</w:t>
            </w:r>
          </w:p>
        </w:tc>
        <w:tc>
          <w:tcPr>
            <w:tcW w:w="1900" w:type="dxa"/>
            <w:tcBorders>
              <w:top w:val="single" w:sz="4" w:space="0" w:color="8EA9DB"/>
              <w:left w:val="single" w:sz="8" w:space="0" w:color="auto"/>
              <w:bottom w:val="single" w:sz="4" w:space="0" w:color="auto"/>
              <w:right w:val="single" w:sz="8" w:space="0" w:color="auto"/>
            </w:tcBorders>
            <w:shd w:val="clear" w:color="D9E1F2" w:fill="D9E1F2"/>
            <w:noWrap/>
            <w:vAlign w:val="bottom"/>
            <w:hideMark/>
          </w:tcPr>
          <w:p w14:paraId="59C1D6F3" w14:textId="77777777" w:rsidR="00FD270A" w:rsidRPr="00885310" w:rsidRDefault="00FD270A" w:rsidP="00501902">
            <w:pPr>
              <w:jc w:val="center"/>
              <w:rPr>
                <w:rFonts w:ascii="Calibri" w:eastAsia="Times New Roman" w:hAnsi="Calibri" w:cs="Calibri"/>
                <w:color w:val="000000"/>
                <w:sz w:val="23"/>
                <w:szCs w:val="23"/>
                <w:lang w:val="es-MX" w:eastAsia="es-MX"/>
              </w:rPr>
            </w:pPr>
            <w:r w:rsidRPr="00885310">
              <w:rPr>
                <w:rFonts w:ascii="Calibri" w:eastAsia="Times New Roman" w:hAnsi="Calibri" w:cs="Calibri"/>
                <w:color w:val="000000"/>
                <w:sz w:val="23"/>
                <w:szCs w:val="23"/>
                <w:lang w:val="es-MX" w:eastAsia="es-MX"/>
              </w:rPr>
              <w:t>337</w:t>
            </w:r>
          </w:p>
        </w:tc>
        <w:tc>
          <w:tcPr>
            <w:tcW w:w="1460" w:type="dxa"/>
            <w:tcBorders>
              <w:top w:val="single" w:sz="4" w:space="0" w:color="8EA9DB"/>
              <w:left w:val="single" w:sz="8" w:space="0" w:color="auto"/>
              <w:bottom w:val="single" w:sz="4" w:space="0" w:color="auto"/>
              <w:right w:val="single" w:sz="8" w:space="0" w:color="auto"/>
            </w:tcBorders>
            <w:shd w:val="clear" w:color="D9E1F2" w:fill="D9E1F2"/>
            <w:noWrap/>
            <w:vAlign w:val="bottom"/>
            <w:hideMark/>
          </w:tcPr>
          <w:p w14:paraId="7C601FB6" w14:textId="77777777" w:rsidR="00FD270A" w:rsidRPr="00885310" w:rsidRDefault="00FD270A" w:rsidP="00501902">
            <w:pPr>
              <w:jc w:val="center"/>
              <w:rPr>
                <w:rFonts w:ascii="Calibri" w:eastAsia="Times New Roman" w:hAnsi="Calibri" w:cs="Calibri"/>
                <w:color w:val="000000"/>
                <w:sz w:val="23"/>
                <w:szCs w:val="23"/>
                <w:lang w:val="es-MX" w:eastAsia="es-MX"/>
              </w:rPr>
            </w:pPr>
            <w:r w:rsidRPr="00885310">
              <w:rPr>
                <w:rFonts w:ascii="Calibri" w:eastAsia="Times New Roman" w:hAnsi="Calibri" w:cs="Calibri"/>
                <w:color w:val="000000"/>
                <w:sz w:val="23"/>
                <w:szCs w:val="23"/>
                <w:lang w:val="es-MX" w:eastAsia="es-MX"/>
              </w:rPr>
              <w:t>271</w:t>
            </w:r>
          </w:p>
        </w:tc>
        <w:tc>
          <w:tcPr>
            <w:tcW w:w="2280" w:type="dxa"/>
            <w:tcBorders>
              <w:top w:val="single" w:sz="4" w:space="0" w:color="8EA9DB"/>
              <w:left w:val="single" w:sz="8" w:space="0" w:color="auto"/>
              <w:bottom w:val="single" w:sz="4" w:space="0" w:color="auto"/>
              <w:right w:val="single" w:sz="8" w:space="0" w:color="auto"/>
            </w:tcBorders>
            <w:shd w:val="clear" w:color="D9E1F2" w:fill="D9E1F2"/>
            <w:noWrap/>
            <w:vAlign w:val="bottom"/>
            <w:hideMark/>
          </w:tcPr>
          <w:p w14:paraId="0EAD777D" w14:textId="77777777" w:rsidR="00FD270A" w:rsidRPr="00885310" w:rsidRDefault="00FD270A" w:rsidP="00501902">
            <w:pPr>
              <w:jc w:val="center"/>
              <w:rPr>
                <w:rFonts w:ascii="Calibri" w:eastAsia="Times New Roman" w:hAnsi="Calibri" w:cs="Calibri"/>
                <w:b/>
                <w:bCs/>
                <w:color w:val="000000"/>
                <w:sz w:val="23"/>
                <w:szCs w:val="23"/>
                <w:lang w:val="es-MX" w:eastAsia="es-MX"/>
              </w:rPr>
            </w:pPr>
            <w:r w:rsidRPr="00885310">
              <w:rPr>
                <w:rFonts w:ascii="Calibri" w:eastAsia="Times New Roman" w:hAnsi="Calibri" w:cs="Calibri"/>
                <w:b/>
                <w:bCs/>
                <w:color w:val="000000"/>
                <w:sz w:val="23"/>
                <w:szCs w:val="23"/>
                <w:lang w:val="es-MX" w:eastAsia="es-MX"/>
              </w:rPr>
              <w:t>80.42</w:t>
            </w:r>
          </w:p>
        </w:tc>
      </w:tr>
      <w:tr w:rsidR="00FD270A" w:rsidRPr="00885310" w14:paraId="288027B3" w14:textId="77777777" w:rsidTr="00501902">
        <w:trPr>
          <w:trHeight w:val="768"/>
        </w:trPr>
        <w:tc>
          <w:tcPr>
            <w:tcW w:w="2560" w:type="dxa"/>
            <w:tcBorders>
              <w:top w:val="single" w:sz="4" w:space="0" w:color="auto"/>
              <w:left w:val="single" w:sz="8" w:space="0" w:color="auto"/>
              <w:bottom w:val="single" w:sz="4" w:space="0" w:color="auto"/>
              <w:right w:val="single" w:sz="8" w:space="0" w:color="auto"/>
            </w:tcBorders>
            <w:shd w:val="clear" w:color="auto" w:fill="auto"/>
            <w:hideMark/>
          </w:tcPr>
          <w:p w14:paraId="03315627" w14:textId="77777777" w:rsidR="00FD270A" w:rsidRPr="00885310" w:rsidRDefault="00FD270A" w:rsidP="00501902">
            <w:pPr>
              <w:rPr>
                <w:rFonts w:ascii="Calibri" w:eastAsia="Times New Roman" w:hAnsi="Calibri" w:cs="Calibri"/>
                <w:color w:val="000000"/>
                <w:sz w:val="23"/>
                <w:szCs w:val="23"/>
                <w:lang w:val="es-MX" w:eastAsia="es-MX"/>
              </w:rPr>
            </w:pPr>
            <w:r w:rsidRPr="00885310">
              <w:rPr>
                <w:rFonts w:ascii="Calibri" w:eastAsia="Times New Roman" w:hAnsi="Calibri" w:cs="Calibri"/>
                <w:color w:val="000000"/>
                <w:sz w:val="23"/>
                <w:szCs w:val="23"/>
                <w:lang w:val="es-MX" w:eastAsia="es-MX"/>
              </w:rPr>
              <w:t>Control normativo y verificación de condiciones</w:t>
            </w:r>
          </w:p>
        </w:tc>
        <w:tc>
          <w:tcPr>
            <w:tcW w:w="1900" w:type="dxa"/>
            <w:tcBorders>
              <w:top w:val="nil"/>
              <w:left w:val="nil"/>
              <w:bottom w:val="single" w:sz="4" w:space="0" w:color="auto"/>
              <w:right w:val="single" w:sz="8" w:space="0" w:color="auto"/>
            </w:tcBorders>
            <w:shd w:val="clear" w:color="auto" w:fill="auto"/>
            <w:noWrap/>
            <w:vAlign w:val="bottom"/>
            <w:hideMark/>
          </w:tcPr>
          <w:p w14:paraId="16C2D3D6" w14:textId="77777777" w:rsidR="00FD270A" w:rsidRPr="00885310" w:rsidRDefault="00FD270A" w:rsidP="00501902">
            <w:pPr>
              <w:jc w:val="center"/>
              <w:rPr>
                <w:rFonts w:ascii="Calibri" w:eastAsia="Times New Roman" w:hAnsi="Calibri" w:cs="Calibri"/>
                <w:color w:val="000000"/>
                <w:sz w:val="23"/>
                <w:szCs w:val="23"/>
                <w:lang w:val="es-MX" w:eastAsia="es-MX"/>
              </w:rPr>
            </w:pPr>
            <w:r w:rsidRPr="00885310">
              <w:rPr>
                <w:rFonts w:ascii="Calibri" w:eastAsia="Times New Roman" w:hAnsi="Calibri" w:cs="Calibri"/>
                <w:color w:val="000000"/>
                <w:sz w:val="23"/>
                <w:szCs w:val="23"/>
                <w:lang w:val="es-MX" w:eastAsia="es-MX"/>
              </w:rPr>
              <w:t>197</w:t>
            </w:r>
          </w:p>
        </w:tc>
        <w:tc>
          <w:tcPr>
            <w:tcW w:w="1460" w:type="dxa"/>
            <w:tcBorders>
              <w:top w:val="nil"/>
              <w:left w:val="nil"/>
              <w:bottom w:val="single" w:sz="4" w:space="0" w:color="auto"/>
              <w:right w:val="single" w:sz="8" w:space="0" w:color="auto"/>
            </w:tcBorders>
            <w:shd w:val="clear" w:color="auto" w:fill="auto"/>
            <w:noWrap/>
            <w:vAlign w:val="bottom"/>
            <w:hideMark/>
          </w:tcPr>
          <w:p w14:paraId="4B457F07" w14:textId="77777777" w:rsidR="00FD270A" w:rsidRPr="00885310" w:rsidRDefault="00FD270A" w:rsidP="00501902">
            <w:pPr>
              <w:jc w:val="center"/>
              <w:rPr>
                <w:rFonts w:ascii="Calibri" w:eastAsia="Times New Roman" w:hAnsi="Calibri" w:cs="Calibri"/>
                <w:color w:val="000000"/>
                <w:sz w:val="23"/>
                <w:szCs w:val="23"/>
                <w:lang w:val="es-MX" w:eastAsia="es-MX"/>
              </w:rPr>
            </w:pPr>
            <w:r w:rsidRPr="00885310">
              <w:rPr>
                <w:rFonts w:ascii="Calibri" w:eastAsia="Times New Roman" w:hAnsi="Calibri" w:cs="Calibri"/>
                <w:color w:val="000000"/>
                <w:sz w:val="23"/>
                <w:szCs w:val="23"/>
                <w:lang w:val="es-MX" w:eastAsia="es-MX"/>
              </w:rPr>
              <w:t>119</w:t>
            </w:r>
          </w:p>
        </w:tc>
        <w:tc>
          <w:tcPr>
            <w:tcW w:w="2280" w:type="dxa"/>
            <w:tcBorders>
              <w:top w:val="single" w:sz="4" w:space="0" w:color="8EA9DB"/>
              <w:left w:val="single" w:sz="8" w:space="0" w:color="auto"/>
              <w:bottom w:val="single" w:sz="4" w:space="0" w:color="auto"/>
              <w:right w:val="single" w:sz="8" w:space="0" w:color="auto"/>
            </w:tcBorders>
            <w:shd w:val="clear" w:color="auto" w:fill="auto"/>
            <w:noWrap/>
            <w:vAlign w:val="bottom"/>
            <w:hideMark/>
          </w:tcPr>
          <w:p w14:paraId="4427088F" w14:textId="77777777" w:rsidR="00FD270A" w:rsidRPr="00885310" w:rsidRDefault="00FD270A" w:rsidP="00501902">
            <w:pPr>
              <w:jc w:val="center"/>
              <w:rPr>
                <w:rFonts w:ascii="Calibri" w:eastAsia="Times New Roman" w:hAnsi="Calibri" w:cs="Calibri"/>
                <w:b/>
                <w:bCs/>
                <w:color w:val="000000"/>
                <w:sz w:val="23"/>
                <w:szCs w:val="23"/>
                <w:lang w:val="es-MX" w:eastAsia="es-MX"/>
              </w:rPr>
            </w:pPr>
            <w:r w:rsidRPr="00885310">
              <w:rPr>
                <w:rFonts w:ascii="Calibri" w:eastAsia="Times New Roman" w:hAnsi="Calibri" w:cs="Calibri"/>
                <w:b/>
                <w:bCs/>
                <w:color w:val="000000"/>
                <w:sz w:val="23"/>
                <w:szCs w:val="23"/>
                <w:lang w:val="es-MX" w:eastAsia="es-MX"/>
              </w:rPr>
              <w:t>60.41</w:t>
            </w:r>
          </w:p>
        </w:tc>
      </w:tr>
      <w:tr w:rsidR="00FD270A" w:rsidRPr="00885310" w14:paraId="3948511E" w14:textId="77777777" w:rsidTr="00501902">
        <w:trPr>
          <w:trHeight w:val="900"/>
        </w:trPr>
        <w:tc>
          <w:tcPr>
            <w:tcW w:w="2560" w:type="dxa"/>
            <w:tcBorders>
              <w:top w:val="single" w:sz="4" w:space="0" w:color="auto"/>
              <w:left w:val="single" w:sz="8" w:space="0" w:color="auto"/>
              <w:bottom w:val="single" w:sz="4" w:space="0" w:color="auto"/>
              <w:right w:val="single" w:sz="8" w:space="0" w:color="auto"/>
            </w:tcBorders>
            <w:shd w:val="clear" w:color="D9E1F2" w:fill="D9E1F2"/>
            <w:hideMark/>
          </w:tcPr>
          <w:p w14:paraId="577FB805" w14:textId="081C63DF" w:rsidR="00FD270A" w:rsidRPr="00885310" w:rsidRDefault="00FD270A" w:rsidP="00501902">
            <w:pPr>
              <w:rPr>
                <w:rFonts w:ascii="Calibri" w:eastAsia="Times New Roman" w:hAnsi="Calibri" w:cs="Calibri"/>
                <w:color w:val="000000"/>
                <w:sz w:val="23"/>
                <w:szCs w:val="23"/>
                <w:lang w:val="es-MX" w:eastAsia="es-MX"/>
              </w:rPr>
            </w:pPr>
            <w:r w:rsidRPr="00885310">
              <w:rPr>
                <w:rFonts w:ascii="Calibri" w:eastAsia="Times New Roman" w:hAnsi="Calibri" w:cs="Calibri"/>
                <w:color w:val="000000"/>
                <w:sz w:val="23"/>
                <w:szCs w:val="23"/>
                <w:lang w:val="es-MX" w:eastAsia="es-MX"/>
              </w:rPr>
              <w:t>Planta de personal, jor</w:t>
            </w:r>
            <w:r>
              <w:rPr>
                <w:rFonts w:ascii="Calibri" w:eastAsia="Times New Roman" w:hAnsi="Calibri" w:cs="Calibri"/>
                <w:color w:val="000000"/>
                <w:sz w:val="23"/>
                <w:szCs w:val="23"/>
                <w:lang w:val="es-MX" w:eastAsia="es-MX"/>
              </w:rPr>
              <w:t>n</w:t>
            </w:r>
            <w:r w:rsidRPr="00885310">
              <w:rPr>
                <w:rFonts w:ascii="Calibri" w:eastAsia="Times New Roman" w:hAnsi="Calibri" w:cs="Calibri"/>
                <w:color w:val="000000"/>
                <w:sz w:val="23"/>
                <w:szCs w:val="23"/>
                <w:lang w:val="es-MX" w:eastAsia="es-MX"/>
              </w:rPr>
              <w:t>ada laboral y perfiles de desempeño</w:t>
            </w:r>
          </w:p>
        </w:tc>
        <w:tc>
          <w:tcPr>
            <w:tcW w:w="1900" w:type="dxa"/>
            <w:tcBorders>
              <w:top w:val="single" w:sz="4" w:space="0" w:color="auto"/>
              <w:left w:val="single" w:sz="8" w:space="0" w:color="auto"/>
              <w:bottom w:val="single" w:sz="4" w:space="0" w:color="auto"/>
              <w:right w:val="single" w:sz="8" w:space="0" w:color="auto"/>
            </w:tcBorders>
            <w:shd w:val="clear" w:color="D9E1F2" w:fill="D9E1F2"/>
            <w:noWrap/>
            <w:vAlign w:val="bottom"/>
            <w:hideMark/>
          </w:tcPr>
          <w:p w14:paraId="59C38848" w14:textId="77777777" w:rsidR="00FD270A" w:rsidRPr="00885310" w:rsidRDefault="00FD270A" w:rsidP="00501902">
            <w:pPr>
              <w:jc w:val="center"/>
              <w:rPr>
                <w:rFonts w:ascii="Calibri" w:eastAsia="Times New Roman" w:hAnsi="Calibri" w:cs="Calibri"/>
                <w:color w:val="000000"/>
                <w:sz w:val="23"/>
                <w:szCs w:val="23"/>
                <w:lang w:val="es-MX" w:eastAsia="es-MX"/>
              </w:rPr>
            </w:pPr>
            <w:r w:rsidRPr="00885310">
              <w:rPr>
                <w:rFonts w:ascii="Calibri" w:eastAsia="Times New Roman" w:hAnsi="Calibri" w:cs="Calibri"/>
                <w:color w:val="000000"/>
                <w:sz w:val="23"/>
                <w:szCs w:val="23"/>
                <w:lang w:val="es-MX" w:eastAsia="es-MX"/>
              </w:rPr>
              <w:t>202</w:t>
            </w:r>
          </w:p>
        </w:tc>
        <w:tc>
          <w:tcPr>
            <w:tcW w:w="1460" w:type="dxa"/>
            <w:tcBorders>
              <w:top w:val="single" w:sz="4" w:space="0" w:color="auto"/>
              <w:left w:val="single" w:sz="8" w:space="0" w:color="auto"/>
              <w:bottom w:val="single" w:sz="4" w:space="0" w:color="auto"/>
              <w:right w:val="single" w:sz="8" w:space="0" w:color="auto"/>
            </w:tcBorders>
            <w:shd w:val="clear" w:color="D9E1F2" w:fill="D9E1F2"/>
            <w:noWrap/>
            <w:vAlign w:val="bottom"/>
            <w:hideMark/>
          </w:tcPr>
          <w:p w14:paraId="3D5024A6" w14:textId="77777777" w:rsidR="00FD270A" w:rsidRPr="00885310" w:rsidRDefault="00FD270A" w:rsidP="00501902">
            <w:pPr>
              <w:jc w:val="center"/>
              <w:rPr>
                <w:rFonts w:ascii="Calibri" w:eastAsia="Times New Roman" w:hAnsi="Calibri" w:cs="Calibri"/>
                <w:color w:val="000000"/>
                <w:sz w:val="23"/>
                <w:szCs w:val="23"/>
                <w:lang w:val="es-MX" w:eastAsia="es-MX"/>
              </w:rPr>
            </w:pPr>
            <w:r w:rsidRPr="00885310">
              <w:rPr>
                <w:rFonts w:ascii="Calibri" w:eastAsia="Times New Roman" w:hAnsi="Calibri" w:cs="Calibri"/>
                <w:color w:val="000000"/>
                <w:sz w:val="23"/>
                <w:szCs w:val="23"/>
                <w:lang w:val="es-MX" w:eastAsia="es-MX"/>
              </w:rPr>
              <w:t>118</w:t>
            </w:r>
          </w:p>
        </w:tc>
        <w:tc>
          <w:tcPr>
            <w:tcW w:w="2280" w:type="dxa"/>
            <w:tcBorders>
              <w:top w:val="single" w:sz="4" w:space="0" w:color="8EA9DB"/>
              <w:left w:val="single" w:sz="8" w:space="0" w:color="auto"/>
              <w:bottom w:val="single" w:sz="4" w:space="0" w:color="auto"/>
              <w:right w:val="single" w:sz="8" w:space="0" w:color="auto"/>
            </w:tcBorders>
            <w:shd w:val="clear" w:color="D9E1F2" w:fill="D9E1F2"/>
            <w:noWrap/>
            <w:vAlign w:val="bottom"/>
            <w:hideMark/>
          </w:tcPr>
          <w:p w14:paraId="469ABCC3" w14:textId="77777777" w:rsidR="00FD270A" w:rsidRPr="00885310" w:rsidRDefault="00FD270A" w:rsidP="00501902">
            <w:pPr>
              <w:jc w:val="center"/>
              <w:rPr>
                <w:rFonts w:ascii="Calibri" w:eastAsia="Times New Roman" w:hAnsi="Calibri" w:cs="Calibri"/>
                <w:b/>
                <w:bCs/>
                <w:color w:val="000000"/>
                <w:sz w:val="23"/>
                <w:szCs w:val="23"/>
                <w:lang w:val="es-MX" w:eastAsia="es-MX"/>
              </w:rPr>
            </w:pPr>
            <w:r w:rsidRPr="00885310">
              <w:rPr>
                <w:rFonts w:ascii="Calibri" w:eastAsia="Times New Roman" w:hAnsi="Calibri" w:cs="Calibri"/>
                <w:b/>
                <w:bCs/>
                <w:color w:val="000000"/>
                <w:sz w:val="23"/>
                <w:szCs w:val="23"/>
                <w:lang w:val="es-MX" w:eastAsia="es-MX"/>
              </w:rPr>
              <w:t>58.42</w:t>
            </w:r>
          </w:p>
        </w:tc>
      </w:tr>
      <w:tr w:rsidR="00FD270A" w:rsidRPr="00885310" w14:paraId="62DA1606" w14:textId="77777777" w:rsidTr="00501902">
        <w:trPr>
          <w:trHeight w:val="600"/>
        </w:trPr>
        <w:tc>
          <w:tcPr>
            <w:tcW w:w="2560" w:type="dxa"/>
            <w:tcBorders>
              <w:top w:val="single" w:sz="4" w:space="0" w:color="auto"/>
              <w:left w:val="single" w:sz="8" w:space="0" w:color="auto"/>
              <w:bottom w:val="single" w:sz="4" w:space="0" w:color="auto"/>
              <w:right w:val="single" w:sz="8" w:space="0" w:color="auto"/>
            </w:tcBorders>
            <w:shd w:val="clear" w:color="auto" w:fill="auto"/>
            <w:hideMark/>
          </w:tcPr>
          <w:p w14:paraId="265CC24B" w14:textId="77777777" w:rsidR="00FD270A" w:rsidRPr="00885310" w:rsidRDefault="00FD270A" w:rsidP="00501902">
            <w:pPr>
              <w:rPr>
                <w:rFonts w:ascii="Calibri" w:eastAsia="Times New Roman" w:hAnsi="Calibri" w:cs="Calibri"/>
                <w:color w:val="000000"/>
                <w:sz w:val="23"/>
                <w:szCs w:val="23"/>
                <w:lang w:val="es-MX" w:eastAsia="es-MX"/>
              </w:rPr>
            </w:pPr>
            <w:r w:rsidRPr="00885310">
              <w:rPr>
                <w:rFonts w:ascii="Calibri" w:eastAsia="Times New Roman" w:hAnsi="Calibri" w:cs="Calibri"/>
                <w:color w:val="000000"/>
                <w:sz w:val="23"/>
                <w:szCs w:val="23"/>
                <w:lang w:val="es-MX" w:eastAsia="es-MX"/>
              </w:rPr>
              <w:t>Cobertura y Permanencia Escolar</w:t>
            </w:r>
          </w:p>
        </w:tc>
        <w:tc>
          <w:tcPr>
            <w:tcW w:w="1900" w:type="dxa"/>
            <w:tcBorders>
              <w:top w:val="nil"/>
              <w:left w:val="nil"/>
              <w:bottom w:val="single" w:sz="4" w:space="0" w:color="auto"/>
              <w:right w:val="single" w:sz="8" w:space="0" w:color="auto"/>
            </w:tcBorders>
            <w:shd w:val="clear" w:color="auto" w:fill="auto"/>
            <w:noWrap/>
            <w:vAlign w:val="bottom"/>
            <w:hideMark/>
          </w:tcPr>
          <w:p w14:paraId="4F967B48" w14:textId="77777777" w:rsidR="00FD270A" w:rsidRPr="00885310" w:rsidRDefault="00FD270A" w:rsidP="00501902">
            <w:pPr>
              <w:jc w:val="center"/>
              <w:rPr>
                <w:rFonts w:ascii="Calibri" w:eastAsia="Times New Roman" w:hAnsi="Calibri" w:cs="Calibri"/>
                <w:color w:val="000000"/>
                <w:sz w:val="23"/>
                <w:szCs w:val="23"/>
                <w:lang w:val="es-MX" w:eastAsia="es-MX"/>
              </w:rPr>
            </w:pPr>
            <w:r w:rsidRPr="00885310">
              <w:rPr>
                <w:rFonts w:ascii="Calibri" w:eastAsia="Times New Roman" w:hAnsi="Calibri" w:cs="Calibri"/>
                <w:color w:val="000000"/>
                <w:sz w:val="23"/>
                <w:szCs w:val="23"/>
                <w:lang w:val="es-MX" w:eastAsia="es-MX"/>
              </w:rPr>
              <w:t>199</w:t>
            </w:r>
          </w:p>
        </w:tc>
        <w:tc>
          <w:tcPr>
            <w:tcW w:w="1460" w:type="dxa"/>
            <w:tcBorders>
              <w:top w:val="nil"/>
              <w:left w:val="nil"/>
              <w:bottom w:val="single" w:sz="4" w:space="0" w:color="auto"/>
              <w:right w:val="single" w:sz="8" w:space="0" w:color="auto"/>
            </w:tcBorders>
            <w:shd w:val="clear" w:color="auto" w:fill="auto"/>
            <w:noWrap/>
            <w:vAlign w:val="bottom"/>
            <w:hideMark/>
          </w:tcPr>
          <w:p w14:paraId="5B04504C" w14:textId="77777777" w:rsidR="00FD270A" w:rsidRPr="00885310" w:rsidRDefault="00FD270A" w:rsidP="00501902">
            <w:pPr>
              <w:jc w:val="center"/>
              <w:rPr>
                <w:rFonts w:ascii="Calibri" w:eastAsia="Times New Roman" w:hAnsi="Calibri" w:cs="Calibri"/>
                <w:color w:val="000000"/>
                <w:sz w:val="23"/>
                <w:szCs w:val="23"/>
                <w:lang w:val="es-MX" w:eastAsia="es-MX"/>
              </w:rPr>
            </w:pPr>
            <w:r w:rsidRPr="00885310">
              <w:rPr>
                <w:rFonts w:ascii="Calibri" w:eastAsia="Times New Roman" w:hAnsi="Calibri" w:cs="Calibri"/>
                <w:color w:val="000000"/>
                <w:sz w:val="23"/>
                <w:szCs w:val="23"/>
                <w:lang w:val="es-MX" w:eastAsia="es-MX"/>
              </w:rPr>
              <w:t>124</w:t>
            </w:r>
          </w:p>
        </w:tc>
        <w:tc>
          <w:tcPr>
            <w:tcW w:w="2280" w:type="dxa"/>
            <w:tcBorders>
              <w:top w:val="single" w:sz="4" w:space="0" w:color="8EA9DB"/>
              <w:left w:val="single" w:sz="8" w:space="0" w:color="auto"/>
              <w:bottom w:val="single" w:sz="4" w:space="0" w:color="auto"/>
              <w:right w:val="single" w:sz="8" w:space="0" w:color="auto"/>
            </w:tcBorders>
            <w:shd w:val="clear" w:color="auto" w:fill="auto"/>
            <w:noWrap/>
            <w:vAlign w:val="bottom"/>
            <w:hideMark/>
          </w:tcPr>
          <w:p w14:paraId="4F8956F7" w14:textId="77777777" w:rsidR="00FD270A" w:rsidRPr="00885310" w:rsidRDefault="00FD270A" w:rsidP="00501902">
            <w:pPr>
              <w:jc w:val="center"/>
              <w:rPr>
                <w:rFonts w:ascii="Calibri" w:eastAsia="Times New Roman" w:hAnsi="Calibri" w:cs="Calibri"/>
                <w:b/>
                <w:bCs/>
                <w:color w:val="000000"/>
                <w:sz w:val="23"/>
                <w:szCs w:val="23"/>
                <w:lang w:val="es-MX" w:eastAsia="es-MX"/>
              </w:rPr>
            </w:pPr>
            <w:r w:rsidRPr="00885310">
              <w:rPr>
                <w:rFonts w:ascii="Calibri" w:eastAsia="Times New Roman" w:hAnsi="Calibri" w:cs="Calibri"/>
                <w:b/>
                <w:bCs/>
                <w:color w:val="000000"/>
                <w:sz w:val="23"/>
                <w:szCs w:val="23"/>
                <w:lang w:val="es-MX" w:eastAsia="es-MX"/>
              </w:rPr>
              <w:t>62.31</w:t>
            </w:r>
          </w:p>
        </w:tc>
      </w:tr>
      <w:tr w:rsidR="00FD270A" w:rsidRPr="00885310" w14:paraId="6F335C17" w14:textId="77777777" w:rsidTr="00501902">
        <w:trPr>
          <w:trHeight w:val="600"/>
        </w:trPr>
        <w:tc>
          <w:tcPr>
            <w:tcW w:w="2560" w:type="dxa"/>
            <w:tcBorders>
              <w:top w:val="single" w:sz="4" w:space="0" w:color="auto"/>
              <w:left w:val="single" w:sz="8" w:space="0" w:color="auto"/>
              <w:bottom w:val="single" w:sz="4" w:space="0" w:color="auto"/>
              <w:right w:val="single" w:sz="8" w:space="0" w:color="auto"/>
            </w:tcBorders>
            <w:shd w:val="clear" w:color="D9E1F2" w:fill="D9E1F2"/>
            <w:hideMark/>
          </w:tcPr>
          <w:p w14:paraId="638BCB47" w14:textId="77777777" w:rsidR="00FD270A" w:rsidRPr="00885310" w:rsidRDefault="00FD270A" w:rsidP="00501902">
            <w:pPr>
              <w:rPr>
                <w:rFonts w:ascii="Calibri" w:eastAsia="Times New Roman" w:hAnsi="Calibri" w:cs="Calibri"/>
                <w:color w:val="000000"/>
                <w:sz w:val="23"/>
                <w:szCs w:val="23"/>
                <w:lang w:val="es-MX" w:eastAsia="es-MX"/>
              </w:rPr>
            </w:pPr>
            <w:r w:rsidRPr="00885310">
              <w:rPr>
                <w:rFonts w:ascii="Calibri" w:eastAsia="Times New Roman" w:hAnsi="Calibri" w:cs="Calibri"/>
                <w:color w:val="000000"/>
                <w:sz w:val="23"/>
                <w:szCs w:val="23"/>
                <w:lang w:val="es-MX" w:eastAsia="es-MX"/>
              </w:rPr>
              <w:t>Modelo de gestión de la Educación Inicial</w:t>
            </w:r>
          </w:p>
        </w:tc>
        <w:tc>
          <w:tcPr>
            <w:tcW w:w="1900" w:type="dxa"/>
            <w:tcBorders>
              <w:top w:val="single" w:sz="4" w:space="0" w:color="auto"/>
              <w:left w:val="single" w:sz="8" w:space="0" w:color="auto"/>
              <w:bottom w:val="single" w:sz="4" w:space="0" w:color="auto"/>
              <w:right w:val="single" w:sz="8" w:space="0" w:color="auto"/>
            </w:tcBorders>
            <w:shd w:val="clear" w:color="D9E1F2" w:fill="D9E1F2"/>
            <w:noWrap/>
            <w:vAlign w:val="bottom"/>
            <w:hideMark/>
          </w:tcPr>
          <w:p w14:paraId="0502609A" w14:textId="77777777" w:rsidR="00FD270A" w:rsidRPr="00885310" w:rsidRDefault="00FD270A" w:rsidP="00501902">
            <w:pPr>
              <w:jc w:val="center"/>
              <w:rPr>
                <w:rFonts w:ascii="Calibri" w:eastAsia="Times New Roman" w:hAnsi="Calibri" w:cs="Calibri"/>
                <w:color w:val="000000"/>
                <w:sz w:val="23"/>
                <w:szCs w:val="23"/>
                <w:lang w:val="es-MX" w:eastAsia="es-MX"/>
              </w:rPr>
            </w:pPr>
            <w:r w:rsidRPr="00885310">
              <w:rPr>
                <w:rFonts w:ascii="Calibri" w:eastAsia="Times New Roman" w:hAnsi="Calibri" w:cs="Calibri"/>
                <w:color w:val="000000"/>
                <w:sz w:val="23"/>
                <w:szCs w:val="23"/>
                <w:lang w:val="es-MX" w:eastAsia="es-MX"/>
              </w:rPr>
              <w:t>70</w:t>
            </w:r>
          </w:p>
        </w:tc>
        <w:tc>
          <w:tcPr>
            <w:tcW w:w="1460" w:type="dxa"/>
            <w:tcBorders>
              <w:top w:val="single" w:sz="4" w:space="0" w:color="auto"/>
              <w:left w:val="single" w:sz="8" w:space="0" w:color="auto"/>
              <w:bottom w:val="single" w:sz="4" w:space="0" w:color="auto"/>
              <w:right w:val="single" w:sz="8" w:space="0" w:color="auto"/>
            </w:tcBorders>
            <w:shd w:val="clear" w:color="D9E1F2" w:fill="D9E1F2"/>
            <w:noWrap/>
            <w:vAlign w:val="bottom"/>
            <w:hideMark/>
          </w:tcPr>
          <w:p w14:paraId="4740A672" w14:textId="77777777" w:rsidR="00FD270A" w:rsidRPr="00885310" w:rsidRDefault="00FD270A" w:rsidP="00501902">
            <w:pPr>
              <w:jc w:val="center"/>
              <w:rPr>
                <w:rFonts w:ascii="Calibri" w:eastAsia="Times New Roman" w:hAnsi="Calibri" w:cs="Calibri"/>
                <w:color w:val="000000"/>
                <w:sz w:val="23"/>
                <w:szCs w:val="23"/>
                <w:lang w:val="es-MX" w:eastAsia="es-MX"/>
              </w:rPr>
            </w:pPr>
            <w:r w:rsidRPr="00885310">
              <w:rPr>
                <w:rFonts w:ascii="Calibri" w:eastAsia="Times New Roman" w:hAnsi="Calibri" w:cs="Calibri"/>
                <w:color w:val="000000"/>
                <w:sz w:val="23"/>
                <w:szCs w:val="23"/>
                <w:lang w:val="es-MX" w:eastAsia="es-MX"/>
              </w:rPr>
              <w:t>52</w:t>
            </w:r>
          </w:p>
        </w:tc>
        <w:tc>
          <w:tcPr>
            <w:tcW w:w="2280" w:type="dxa"/>
            <w:tcBorders>
              <w:top w:val="single" w:sz="4" w:space="0" w:color="8EA9DB"/>
              <w:left w:val="single" w:sz="8" w:space="0" w:color="auto"/>
              <w:bottom w:val="single" w:sz="4" w:space="0" w:color="auto"/>
              <w:right w:val="single" w:sz="8" w:space="0" w:color="auto"/>
            </w:tcBorders>
            <w:shd w:val="clear" w:color="D9E1F2" w:fill="D9E1F2"/>
            <w:noWrap/>
            <w:vAlign w:val="bottom"/>
            <w:hideMark/>
          </w:tcPr>
          <w:p w14:paraId="163E4D97" w14:textId="77777777" w:rsidR="00FD270A" w:rsidRPr="00885310" w:rsidRDefault="00FD270A" w:rsidP="00501902">
            <w:pPr>
              <w:jc w:val="center"/>
              <w:rPr>
                <w:rFonts w:ascii="Calibri" w:eastAsia="Times New Roman" w:hAnsi="Calibri" w:cs="Calibri"/>
                <w:b/>
                <w:bCs/>
                <w:color w:val="000000"/>
                <w:sz w:val="23"/>
                <w:szCs w:val="23"/>
                <w:lang w:val="es-MX" w:eastAsia="es-MX"/>
              </w:rPr>
            </w:pPr>
            <w:r w:rsidRPr="00885310">
              <w:rPr>
                <w:rFonts w:ascii="Calibri" w:eastAsia="Times New Roman" w:hAnsi="Calibri" w:cs="Calibri"/>
                <w:b/>
                <w:bCs/>
                <w:color w:val="000000"/>
                <w:sz w:val="23"/>
                <w:szCs w:val="23"/>
                <w:lang w:val="es-MX" w:eastAsia="es-MX"/>
              </w:rPr>
              <w:t>74.29</w:t>
            </w:r>
          </w:p>
        </w:tc>
      </w:tr>
      <w:tr w:rsidR="00FD270A" w:rsidRPr="00885310" w14:paraId="5B68C577" w14:textId="77777777" w:rsidTr="00501902">
        <w:trPr>
          <w:trHeight w:val="468"/>
        </w:trPr>
        <w:tc>
          <w:tcPr>
            <w:tcW w:w="2560" w:type="dxa"/>
            <w:tcBorders>
              <w:top w:val="single" w:sz="4" w:space="0" w:color="auto"/>
              <w:left w:val="single" w:sz="8" w:space="0" w:color="auto"/>
              <w:bottom w:val="single" w:sz="4" w:space="0" w:color="auto"/>
              <w:right w:val="single" w:sz="8" w:space="0" w:color="auto"/>
            </w:tcBorders>
            <w:shd w:val="clear" w:color="auto" w:fill="auto"/>
            <w:hideMark/>
          </w:tcPr>
          <w:p w14:paraId="2060CE13" w14:textId="77777777" w:rsidR="00FD270A" w:rsidRPr="00885310" w:rsidRDefault="00FD270A" w:rsidP="00501902">
            <w:pPr>
              <w:rPr>
                <w:rFonts w:ascii="Calibri" w:eastAsia="Times New Roman" w:hAnsi="Calibri" w:cs="Calibri"/>
                <w:color w:val="000000"/>
                <w:sz w:val="23"/>
                <w:szCs w:val="23"/>
                <w:lang w:val="es-MX" w:eastAsia="es-MX"/>
              </w:rPr>
            </w:pPr>
            <w:r w:rsidRPr="00885310">
              <w:rPr>
                <w:rFonts w:ascii="Calibri" w:eastAsia="Times New Roman" w:hAnsi="Calibri" w:cs="Calibri"/>
                <w:color w:val="000000"/>
                <w:sz w:val="23"/>
                <w:szCs w:val="23"/>
                <w:lang w:val="es-MX" w:eastAsia="es-MX"/>
              </w:rPr>
              <w:t>Convivencia Escolar</w:t>
            </w:r>
          </w:p>
        </w:tc>
        <w:tc>
          <w:tcPr>
            <w:tcW w:w="1900" w:type="dxa"/>
            <w:tcBorders>
              <w:top w:val="nil"/>
              <w:left w:val="nil"/>
              <w:bottom w:val="single" w:sz="4" w:space="0" w:color="auto"/>
              <w:right w:val="single" w:sz="8" w:space="0" w:color="auto"/>
            </w:tcBorders>
            <w:shd w:val="clear" w:color="auto" w:fill="auto"/>
            <w:noWrap/>
            <w:vAlign w:val="bottom"/>
            <w:hideMark/>
          </w:tcPr>
          <w:p w14:paraId="3CCE8226" w14:textId="77777777" w:rsidR="00FD270A" w:rsidRPr="00885310" w:rsidRDefault="00FD270A" w:rsidP="00501902">
            <w:pPr>
              <w:jc w:val="center"/>
              <w:rPr>
                <w:rFonts w:ascii="Calibri" w:eastAsia="Times New Roman" w:hAnsi="Calibri" w:cs="Calibri"/>
                <w:color w:val="000000"/>
                <w:sz w:val="23"/>
                <w:szCs w:val="23"/>
                <w:lang w:val="es-MX" w:eastAsia="es-MX"/>
              </w:rPr>
            </w:pPr>
            <w:r w:rsidRPr="00885310">
              <w:rPr>
                <w:rFonts w:ascii="Calibri" w:eastAsia="Times New Roman" w:hAnsi="Calibri" w:cs="Calibri"/>
                <w:color w:val="000000"/>
                <w:sz w:val="23"/>
                <w:szCs w:val="23"/>
                <w:lang w:val="es-MX" w:eastAsia="es-MX"/>
              </w:rPr>
              <w:t>345</w:t>
            </w:r>
          </w:p>
        </w:tc>
        <w:tc>
          <w:tcPr>
            <w:tcW w:w="1460" w:type="dxa"/>
            <w:tcBorders>
              <w:top w:val="nil"/>
              <w:left w:val="nil"/>
              <w:bottom w:val="single" w:sz="4" w:space="0" w:color="auto"/>
              <w:right w:val="single" w:sz="8" w:space="0" w:color="auto"/>
            </w:tcBorders>
            <w:shd w:val="clear" w:color="auto" w:fill="auto"/>
            <w:noWrap/>
            <w:vAlign w:val="bottom"/>
            <w:hideMark/>
          </w:tcPr>
          <w:p w14:paraId="5963BE13" w14:textId="77777777" w:rsidR="00FD270A" w:rsidRPr="00885310" w:rsidRDefault="00FD270A" w:rsidP="00501902">
            <w:pPr>
              <w:jc w:val="center"/>
              <w:rPr>
                <w:rFonts w:ascii="Calibri" w:eastAsia="Times New Roman" w:hAnsi="Calibri" w:cs="Calibri"/>
                <w:color w:val="000000"/>
                <w:sz w:val="23"/>
                <w:szCs w:val="23"/>
                <w:lang w:val="es-MX" w:eastAsia="es-MX"/>
              </w:rPr>
            </w:pPr>
            <w:r w:rsidRPr="00885310">
              <w:rPr>
                <w:rFonts w:ascii="Calibri" w:eastAsia="Times New Roman" w:hAnsi="Calibri" w:cs="Calibri"/>
                <w:color w:val="000000"/>
                <w:sz w:val="23"/>
                <w:szCs w:val="23"/>
                <w:lang w:val="es-MX" w:eastAsia="es-MX"/>
              </w:rPr>
              <w:t>153</w:t>
            </w:r>
          </w:p>
        </w:tc>
        <w:tc>
          <w:tcPr>
            <w:tcW w:w="2280" w:type="dxa"/>
            <w:tcBorders>
              <w:top w:val="single" w:sz="4" w:space="0" w:color="8EA9DB"/>
              <w:left w:val="single" w:sz="8" w:space="0" w:color="auto"/>
              <w:bottom w:val="single" w:sz="4" w:space="0" w:color="auto"/>
              <w:right w:val="single" w:sz="8" w:space="0" w:color="auto"/>
            </w:tcBorders>
            <w:shd w:val="clear" w:color="auto" w:fill="auto"/>
            <w:noWrap/>
            <w:vAlign w:val="bottom"/>
            <w:hideMark/>
          </w:tcPr>
          <w:p w14:paraId="627FC9AC" w14:textId="77777777" w:rsidR="00FD270A" w:rsidRPr="00885310" w:rsidRDefault="00FD270A" w:rsidP="00501902">
            <w:pPr>
              <w:jc w:val="center"/>
              <w:rPr>
                <w:rFonts w:ascii="Calibri" w:eastAsia="Times New Roman" w:hAnsi="Calibri" w:cs="Calibri"/>
                <w:b/>
                <w:bCs/>
                <w:color w:val="000000"/>
                <w:sz w:val="23"/>
                <w:szCs w:val="23"/>
                <w:lang w:val="es-MX" w:eastAsia="es-MX"/>
              </w:rPr>
            </w:pPr>
            <w:r w:rsidRPr="00885310">
              <w:rPr>
                <w:rFonts w:ascii="Calibri" w:eastAsia="Times New Roman" w:hAnsi="Calibri" w:cs="Calibri"/>
                <w:b/>
                <w:bCs/>
                <w:color w:val="000000"/>
                <w:sz w:val="23"/>
                <w:szCs w:val="23"/>
                <w:lang w:val="es-MX" w:eastAsia="es-MX"/>
              </w:rPr>
              <w:t>44.35</w:t>
            </w:r>
          </w:p>
        </w:tc>
      </w:tr>
      <w:tr w:rsidR="00FD270A" w:rsidRPr="00885310" w14:paraId="1B6E15B6" w14:textId="77777777" w:rsidTr="00501902">
        <w:trPr>
          <w:trHeight w:val="480"/>
        </w:trPr>
        <w:tc>
          <w:tcPr>
            <w:tcW w:w="2560" w:type="dxa"/>
            <w:tcBorders>
              <w:top w:val="single" w:sz="4" w:space="0" w:color="auto"/>
              <w:left w:val="single" w:sz="8" w:space="0" w:color="auto"/>
              <w:bottom w:val="single" w:sz="4" w:space="0" w:color="auto"/>
              <w:right w:val="single" w:sz="8" w:space="0" w:color="auto"/>
            </w:tcBorders>
            <w:shd w:val="clear" w:color="D9E1F2" w:fill="D9E1F2"/>
            <w:hideMark/>
          </w:tcPr>
          <w:p w14:paraId="5D6C5B58" w14:textId="77777777" w:rsidR="00FD270A" w:rsidRPr="00885310" w:rsidRDefault="00FD270A" w:rsidP="00501902">
            <w:pPr>
              <w:rPr>
                <w:rFonts w:ascii="Calibri" w:eastAsia="Times New Roman" w:hAnsi="Calibri" w:cs="Calibri"/>
                <w:color w:val="000000"/>
                <w:sz w:val="23"/>
                <w:szCs w:val="23"/>
                <w:lang w:val="es-MX" w:eastAsia="es-MX"/>
              </w:rPr>
            </w:pPr>
            <w:r w:rsidRPr="00885310">
              <w:rPr>
                <w:rFonts w:ascii="Calibri" w:eastAsia="Times New Roman" w:hAnsi="Calibri" w:cs="Calibri"/>
                <w:color w:val="000000"/>
                <w:sz w:val="23"/>
                <w:szCs w:val="23"/>
                <w:lang w:val="es-MX" w:eastAsia="es-MX"/>
              </w:rPr>
              <w:t>Gestión Directiva</w:t>
            </w:r>
          </w:p>
        </w:tc>
        <w:tc>
          <w:tcPr>
            <w:tcW w:w="1900" w:type="dxa"/>
            <w:tcBorders>
              <w:top w:val="single" w:sz="4" w:space="0" w:color="auto"/>
              <w:left w:val="single" w:sz="8" w:space="0" w:color="auto"/>
              <w:bottom w:val="single" w:sz="4" w:space="0" w:color="auto"/>
              <w:right w:val="single" w:sz="8" w:space="0" w:color="auto"/>
            </w:tcBorders>
            <w:shd w:val="clear" w:color="D9E1F2" w:fill="D9E1F2"/>
            <w:noWrap/>
            <w:vAlign w:val="bottom"/>
            <w:hideMark/>
          </w:tcPr>
          <w:p w14:paraId="20F91523" w14:textId="77777777" w:rsidR="00FD270A" w:rsidRPr="00885310" w:rsidRDefault="00FD270A" w:rsidP="00501902">
            <w:pPr>
              <w:jc w:val="center"/>
              <w:rPr>
                <w:rFonts w:ascii="Calibri" w:eastAsia="Times New Roman" w:hAnsi="Calibri" w:cs="Calibri"/>
                <w:color w:val="000000"/>
                <w:sz w:val="23"/>
                <w:szCs w:val="23"/>
                <w:lang w:val="es-MX" w:eastAsia="es-MX"/>
              </w:rPr>
            </w:pPr>
            <w:r w:rsidRPr="00885310">
              <w:rPr>
                <w:rFonts w:ascii="Calibri" w:eastAsia="Times New Roman" w:hAnsi="Calibri" w:cs="Calibri"/>
                <w:color w:val="000000"/>
                <w:sz w:val="23"/>
                <w:szCs w:val="23"/>
                <w:lang w:val="es-MX" w:eastAsia="es-MX"/>
              </w:rPr>
              <w:t>205</w:t>
            </w:r>
          </w:p>
        </w:tc>
        <w:tc>
          <w:tcPr>
            <w:tcW w:w="1460" w:type="dxa"/>
            <w:tcBorders>
              <w:top w:val="single" w:sz="4" w:space="0" w:color="auto"/>
              <w:left w:val="single" w:sz="8" w:space="0" w:color="auto"/>
              <w:bottom w:val="single" w:sz="4" w:space="0" w:color="auto"/>
              <w:right w:val="single" w:sz="8" w:space="0" w:color="auto"/>
            </w:tcBorders>
            <w:shd w:val="clear" w:color="D9E1F2" w:fill="D9E1F2"/>
            <w:noWrap/>
            <w:vAlign w:val="bottom"/>
            <w:hideMark/>
          </w:tcPr>
          <w:p w14:paraId="0EACB536" w14:textId="77777777" w:rsidR="00FD270A" w:rsidRPr="00885310" w:rsidRDefault="00FD270A" w:rsidP="00501902">
            <w:pPr>
              <w:jc w:val="center"/>
              <w:rPr>
                <w:rFonts w:ascii="Calibri" w:eastAsia="Times New Roman" w:hAnsi="Calibri" w:cs="Calibri"/>
                <w:color w:val="000000"/>
                <w:sz w:val="23"/>
                <w:szCs w:val="23"/>
                <w:lang w:val="es-MX" w:eastAsia="es-MX"/>
              </w:rPr>
            </w:pPr>
            <w:r w:rsidRPr="00885310">
              <w:rPr>
                <w:rFonts w:ascii="Calibri" w:eastAsia="Times New Roman" w:hAnsi="Calibri" w:cs="Calibri"/>
                <w:color w:val="000000"/>
                <w:sz w:val="23"/>
                <w:szCs w:val="23"/>
                <w:lang w:val="es-MX" w:eastAsia="es-MX"/>
              </w:rPr>
              <w:t>114</w:t>
            </w:r>
          </w:p>
        </w:tc>
        <w:tc>
          <w:tcPr>
            <w:tcW w:w="2280" w:type="dxa"/>
            <w:tcBorders>
              <w:top w:val="single" w:sz="4" w:space="0" w:color="8EA9DB"/>
              <w:left w:val="single" w:sz="8" w:space="0" w:color="auto"/>
              <w:bottom w:val="single" w:sz="4" w:space="0" w:color="auto"/>
              <w:right w:val="single" w:sz="8" w:space="0" w:color="auto"/>
            </w:tcBorders>
            <w:shd w:val="clear" w:color="D9E1F2" w:fill="D9E1F2"/>
            <w:noWrap/>
            <w:vAlign w:val="bottom"/>
            <w:hideMark/>
          </w:tcPr>
          <w:p w14:paraId="12B095C3" w14:textId="77777777" w:rsidR="00FD270A" w:rsidRPr="00885310" w:rsidRDefault="00FD270A" w:rsidP="00501902">
            <w:pPr>
              <w:jc w:val="center"/>
              <w:rPr>
                <w:rFonts w:ascii="Calibri" w:eastAsia="Times New Roman" w:hAnsi="Calibri" w:cs="Calibri"/>
                <w:b/>
                <w:bCs/>
                <w:color w:val="000000"/>
                <w:sz w:val="23"/>
                <w:szCs w:val="23"/>
                <w:lang w:val="es-MX" w:eastAsia="es-MX"/>
              </w:rPr>
            </w:pPr>
            <w:r w:rsidRPr="00885310">
              <w:rPr>
                <w:rFonts w:ascii="Calibri" w:eastAsia="Times New Roman" w:hAnsi="Calibri" w:cs="Calibri"/>
                <w:b/>
                <w:bCs/>
                <w:color w:val="000000"/>
                <w:sz w:val="23"/>
                <w:szCs w:val="23"/>
                <w:lang w:val="es-MX" w:eastAsia="es-MX"/>
              </w:rPr>
              <w:t>55.61</w:t>
            </w:r>
          </w:p>
        </w:tc>
      </w:tr>
      <w:tr w:rsidR="00FD270A" w:rsidRPr="00885310" w14:paraId="5ED10A83" w14:textId="77777777" w:rsidTr="00501902">
        <w:trPr>
          <w:trHeight w:val="600"/>
        </w:trPr>
        <w:tc>
          <w:tcPr>
            <w:tcW w:w="2560" w:type="dxa"/>
            <w:tcBorders>
              <w:top w:val="single" w:sz="4" w:space="0" w:color="auto"/>
              <w:left w:val="single" w:sz="8" w:space="0" w:color="auto"/>
              <w:bottom w:val="single" w:sz="4" w:space="0" w:color="auto"/>
              <w:right w:val="single" w:sz="8" w:space="0" w:color="auto"/>
            </w:tcBorders>
            <w:shd w:val="clear" w:color="auto" w:fill="auto"/>
            <w:hideMark/>
          </w:tcPr>
          <w:p w14:paraId="69439F9C" w14:textId="77777777" w:rsidR="00FD270A" w:rsidRPr="00885310" w:rsidRDefault="00FD270A" w:rsidP="00501902">
            <w:pPr>
              <w:rPr>
                <w:rFonts w:ascii="Calibri" w:eastAsia="Times New Roman" w:hAnsi="Calibri" w:cs="Calibri"/>
                <w:color w:val="000000"/>
                <w:sz w:val="23"/>
                <w:szCs w:val="23"/>
                <w:lang w:val="es-MX" w:eastAsia="es-MX"/>
              </w:rPr>
            </w:pPr>
            <w:r w:rsidRPr="00885310">
              <w:rPr>
                <w:rFonts w:ascii="Calibri" w:eastAsia="Times New Roman" w:hAnsi="Calibri" w:cs="Calibri"/>
                <w:color w:val="000000"/>
                <w:sz w:val="23"/>
                <w:szCs w:val="23"/>
                <w:lang w:val="es-MX" w:eastAsia="es-MX"/>
              </w:rPr>
              <w:t>Sistemas de Información del sector</w:t>
            </w:r>
          </w:p>
        </w:tc>
        <w:tc>
          <w:tcPr>
            <w:tcW w:w="1900" w:type="dxa"/>
            <w:tcBorders>
              <w:top w:val="nil"/>
              <w:left w:val="nil"/>
              <w:bottom w:val="single" w:sz="4" w:space="0" w:color="auto"/>
              <w:right w:val="single" w:sz="8" w:space="0" w:color="auto"/>
            </w:tcBorders>
            <w:shd w:val="clear" w:color="auto" w:fill="auto"/>
            <w:noWrap/>
            <w:vAlign w:val="bottom"/>
            <w:hideMark/>
          </w:tcPr>
          <w:p w14:paraId="624F2239" w14:textId="77777777" w:rsidR="00FD270A" w:rsidRPr="00885310" w:rsidRDefault="00FD270A" w:rsidP="00501902">
            <w:pPr>
              <w:jc w:val="center"/>
              <w:rPr>
                <w:rFonts w:ascii="Calibri" w:eastAsia="Times New Roman" w:hAnsi="Calibri" w:cs="Calibri"/>
                <w:color w:val="000000"/>
                <w:sz w:val="23"/>
                <w:szCs w:val="23"/>
                <w:lang w:val="es-MX" w:eastAsia="es-MX"/>
              </w:rPr>
            </w:pPr>
            <w:r w:rsidRPr="00885310">
              <w:rPr>
                <w:rFonts w:ascii="Calibri" w:eastAsia="Times New Roman" w:hAnsi="Calibri" w:cs="Calibri"/>
                <w:color w:val="000000"/>
                <w:sz w:val="23"/>
                <w:szCs w:val="23"/>
                <w:lang w:val="es-MX" w:eastAsia="es-MX"/>
              </w:rPr>
              <w:t>158</w:t>
            </w:r>
          </w:p>
        </w:tc>
        <w:tc>
          <w:tcPr>
            <w:tcW w:w="1460" w:type="dxa"/>
            <w:tcBorders>
              <w:top w:val="nil"/>
              <w:left w:val="nil"/>
              <w:bottom w:val="single" w:sz="4" w:space="0" w:color="auto"/>
              <w:right w:val="single" w:sz="8" w:space="0" w:color="auto"/>
            </w:tcBorders>
            <w:shd w:val="clear" w:color="auto" w:fill="auto"/>
            <w:noWrap/>
            <w:vAlign w:val="bottom"/>
            <w:hideMark/>
          </w:tcPr>
          <w:p w14:paraId="10E0DCE5" w14:textId="77777777" w:rsidR="00FD270A" w:rsidRPr="00885310" w:rsidRDefault="00FD270A" w:rsidP="00501902">
            <w:pPr>
              <w:jc w:val="center"/>
              <w:rPr>
                <w:rFonts w:ascii="Calibri" w:eastAsia="Times New Roman" w:hAnsi="Calibri" w:cs="Calibri"/>
                <w:color w:val="000000"/>
                <w:sz w:val="23"/>
                <w:szCs w:val="23"/>
                <w:lang w:val="es-MX" w:eastAsia="es-MX"/>
              </w:rPr>
            </w:pPr>
            <w:r w:rsidRPr="00885310">
              <w:rPr>
                <w:rFonts w:ascii="Calibri" w:eastAsia="Times New Roman" w:hAnsi="Calibri" w:cs="Calibri"/>
                <w:color w:val="000000"/>
                <w:sz w:val="23"/>
                <w:szCs w:val="23"/>
                <w:lang w:val="es-MX" w:eastAsia="es-MX"/>
              </w:rPr>
              <w:t>99</w:t>
            </w:r>
          </w:p>
        </w:tc>
        <w:tc>
          <w:tcPr>
            <w:tcW w:w="2280" w:type="dxa"/>
            <w:tcBorders>
              <w:top w:val="single" w:sz="4" w:space="0" w:color="8EA9DB"/>
              <w:left w:val="single" w:sz="8" w:space="0" w:color="auto"/>
              <w:bottom w:val="single" w:sz="4" w:space="0" w:color="auto"/>
              <w:right w:val="single" w:sz="8" w:space="0" w:color="auto"/>
            </w:tcBorders>
            <w:shd w:val="clear" w:color="auto" w:fill="auto"/>
            <w:noWrap/>
            <w:vAlign w:val="bottom"/>
            <w:hideMark/>
          </w:tcPr>
          <w:p w14:paraId="1D86FE28" w14:textId="77777777" w:rsidR="00FD270A" w:rsidRPr="00885310" w:rsidRDefault="00FD270A" w:rsidP="00501902">
            <w:pPr>
              <w:jc w:val="center"/>
              <w:rPr>
                <w:rFonts w:ascii="Calibri" w:eastAsia="Times New Roman" w:hAnsi="Calibri" w:cs="Calibri"/>
                <w:b/>
                <w:bCs/>
                <w:color w:val="000000"/>
                <w:sz w:val="23"/>
                <w:szCs w:val="23"/>
                <w:lang w:val="es-MX" w:eastAsia="es-MX"/>
              </w:rPr>
            </w:pPr>
            <w:r w:rsidRPr="00885310">
              <w:rPr>
                <w:rFonts w:ascii="Calibri" w:eastAsia="Times New Roman" w:hAnsi="Calibri" w:cs="Calibri"/>
                <w:b/>
                <w:bCs/>
                <w:color w:val="000000"/>
                <w:sz w:val="23"/>
                <w:szCs w:val="23"/>
                <w:lang w:val="es-MX" w:eastAsia="es-MX"/>
              </w:rPr>
              <w:t>62.66</w:t>
            </w:r>
          </w:p>
        </w:tc>
      </w:tr>
      <w:tr w:rsidR="00FD270A" w:rsidRPr="00885310" w14:paraId="08F994C0" w14:textId="77777777" w:rsidTr="00501902">
        <w:trPr>
          <w:trHeight w:val="432"/>
        </w:trPr>
        <w:tc>
          <w:tcPr>
            <w:tcW w:w="2560" w:type="dxa"/>
            <w:tcBorders>
              <w:top w:val="single" w:sz="4" w:space="0" w:color="auto"/>
              <w:left w:val="single" w:sz="8" w:space="0" w:color="auto"/>
              <w:bottom w:val="single" w:sz="4" w:space="0" w:color="auto"/>
              <w:right w:val="single" w:sz="8" w:space="0" w:color="auto"/>
            </w:tcBorders>
            <w:shd w:val="clear" w:color="D9E1F2" w:fill="D9E1F2"/>
            <w:hideMark/>
          </w:tcPr>
          <w:p w14:paraId="148D3675" w14:textId="77777777" w:rsidR="00FD270A" w:rsidRPr="00885310" w:rsidRDefault="00FD270A" w:rsidP="00501902">
            <w:pPr>
              <w:rPr>
                <w:rFonts w:ascii="Calibri" w:eastAsia="Times New Roman" w:hAnsi="Calibri" w:cs="Calibri"/>
                <w:color w:val="000000"/>
                <w:sz w:val="23"/>
                <w:szCs w:val="23"/>
                <w:lang w:val="es-MX" w:eastAsia="es-MX"/>
              </w:rPr>
            </w:pPr>
            <w:r w:rsidRPr="00885310">
              <w:rPr>
                <w:rFonts w:ascii="Calibri" w:eastAsia="Times New Roman" w:hAnsi="Calibri" w:cs="Calibri"/>
                <w:color w:val="000000"/>
                <w:sz w:val="23"/>
                <w:szCs w:val="23"/>
                <w:lang w:val="es-MX" w:eastAsia="es-MX"/>
              </w:rPr>
              <w:t>Educación Privada</w:t>
            </w:r>
          </w:p>
        </w:tc>
        <w:tc>
          <w:tcPr>
            <w:tcW w:w="1900" w:type="dxa"/>
            <w:tcBorders>
              <w:top w:val="single" w:sz="4" w:space="0" w:color="auto"/>
              <w:left w:val="single" w:sz="8" w:space="0" w:color="auto"/>
              <w:bottom w:val="single" w:sz="4" w:space="0" w:color="auto"/>
              <w:right w:val="single" w:sz="8" w:space="0" w:color="auto"/>
            </w:tcBorders>
            <w:shd w:val="clear" w:color="D9E1F2" w:fill="D9E1F2"/>
            <w:noWrap/>
            <w:vAlign w:val="bottom"/>
            <w:hideMark/>
          </w:tcPr>
          <w:p w14:paraId="086EEB71" w14:textId="77777777" w:rsidR="00FD270A" w:rsidRPr="00885310" w:rsidRDefault="00FD270A" w:rsidP="00501902">
            <w:pPr>
              <w:jc w:val="center"/>
              <w:rPr>
                <w:rFonts w:ascii="Calibri" w:eastAsia="Times New Roman" w:hAnsi="Calibri" w:cs="Calibri"/>
                <w:color w:val="000000"/>
                <w:sz w:val="23"/>
                <w:szCs w:val="23"/>
                <w:lang w:val="es-MX" w:eastAsia="es-MX"/>
              </w:rPr>
            </w:pPr>
            <w:r w:rsidRPr="00885310">
              <w:rPr>
                <w:rFonts w:ascii="Calibri" w:eastAsia="Times New Roman" w:hAnsi="Calibri" w:cs="Calibri"/>
                <w:color w:val="000000"/>
                <w:sz w:val="23"/>
                <w:szCs w:val="23"/>
                <w:lang w:val="es-MX" w:eastAsia="es-MX"/>
              </w:rPr>
              <w:t>159</w:t>
            </w:r>
          </w:p>
        </w:tc>
        <w:tc>
          <w:tcPr>
            <w:tcW w:w="1460" w:type="dxa"/>
            <w:tcBorders>
              <w:top w:val="single" w:sz="4" w:space="0" w:color="auto"/>
              <w:left w:val="single" w:sz="8" w:space="0" w:color="auto"/>
              <w:bottom w:val="single" w:sz="4" w:space="0" w:color="auto"/>
              <w:right w:val="single" w:sz="8" w:space="0" w:color="auto"/>
            </w:tcBorders>
            <w:shd w:val="clear" w:color="D9E1F2" w:fill="D9E1F2"/>
            <w:noWrap/>
            <w:vAlign w:val="bottom"/>
            <w:hideMark/>
          </w:tcPr>
          <w:p w14:paraId="224B05BA" w14:textId="77777777" w:rsidR="00FD270A" w:rsidRPr="00885310" w:rsidRDefault="00FD270A" w:rsidP="00501902">
            <w:pPr>
              <w:jc w:val="center"/>
              <w:rPr>
                <w:rFonts w:ascii="Calibri" w:eastAsia="Times New Roman" w:hAnsi="Calibri" w:cs="Calibri"/>
                <w:color w:val="000000"/>
                <w:sz w:val="23"/>
                <w:szCs w:val="23"/>
                <w:lang w:val="es-MX" w:eastAsia="es-MX"/>
              </w:rPr>
            </w:pPr>
            <w:r w:rsidRPr="00885310">
              <w:rPr>
                <w:rFonts w:ascii="Calibri" w:eastAsia="Times New Roman" w:hAnsi="Calibri" w:cs="Calibri"/>
                <w:color w:val="000000"/>
                <w:sz w:val="23"/>
                <w:szCs w:val="23"/>
                <w:lang w:val="es-MX" w:eastAsia="es-MX"/>
              </w:rPr>
              <w:t>14</w:t>
            </w:r>
          </w:p>
        </w:tc>
        <w:tc>
          <w:tcPr>
            <w:tcW w:w="2280" w:type="dxa"/>
            <w:tcBorders>
              <w:top w:val="single" w:sz="4" w:space="0" w:color="8EA9DB"/>
              <w:left w:val="single" w:sz="8" w:space="0" w:color="auto"/>
              <w:bottom w:val="single" w:sz="4" w:space="0" w:color="auto"/>
              <w:right w:val="single" w:sz="8" w:space="0" w:color="auto"/>
            </w:tcBorders>
            <w:shd w:val="clear" w:color="D9E1F2" w:fill="D9E1F2"/>
            <w:noWrap/>
            <w:vAlign w:val="bottom"/>
            <w:hideMark/>
          </w:tcPr>
          <w:p w14:paraId="33276279" w14:textId="77777777" w:rsidR="00FD270A" w:rsidRPr="00885310" w:rsidRDefault="00FD270A" w:rsidP="00501902">
            <w:pPr>
              <w:jc w:val="center"/>
              <w:rPr>
                <w:rFonts w:ascii="Calibri" w:eastAsia="Times New Roman" w:hAnsi="Calibri" w:cs="Calibri"/>
                <w:b/>
                <w:bCs/>
                <w:color w:val="000000"/>
                <w:sz w:val="23"/>
                <w:szCs w:val="23"/>
                <w:lang w:val="es-MX" w:eastAsia="es-MX"/>
              </w:rPr>
            </w:pPr>
            <w:r w:rsidRPr="00885310">
              <w:rPr>
                <w:rFonts w:ascii="Calibri" w:eastAsia="Times New Roman" w:hAnsi="Calibri" w:cs="Calibri"/>
                <w:b/>
                <w:bCs/>
                <w:color w:val="000000"/>
                <w:sz w:val="23"/>
                <w:szCs w:val="23"/>
                <w:lang w:val="es-MX" w:eastAsia="es-MX"/>
              </w:rPr>
              <w:t>8.81</w:t>
            </w:r>
          </w:p>
        </w:tc>
      </w:tr>
      <w:tr w:rsidR="00FD270A" w:rsidRPr="00885310" w14:paraId="1D7DCA2D" w14:textId="77777777" w:rsidTr="00501902">
        <w:trPr>
          <w:trHeight w:val="600"/>
        </w:trPr>
        <w:tc>
          <w:tcPr>
            <w:tcW w:w="2560" w:type="dxa"/>
            <w:tcBorders>
              <w:top w:val="single" w:sz="4" w:space="0" w:color="auto"/>
              <w:left w:val="single" w:sz="8" w:space="0" w:color="auto"/>
              <w:bottom w:val="single" w:sz="4" w:space="0" w:color="auto"/>
              <w:right w:val="single" w:sz="8" w:space="0" w:color="auto"/>
            </w:tcBorders>
            <w:shd w:val="clear" w:color="auto" w:fill="auto"/>
            <w:hideMark/>
          </w:tcPr>
          <w:p w14:paraId="69CC4697" w14:textId="77777777" w:rsidR="00FD270A" w:rsidRPr="00885310" w:rsidRDefault="00FD270A" w:rsidP="00501902">
            <w:pPr>
              <w:rPr>
                <w:rFonts w:ascii="Calibri" w:eastAsia="Times New Roman" w:hAnsi="Calibri" w:cs="Calibri"/>
                <w:color w:val="000000"/>
                <w:sz w:val="23"/>
                <w:szCs w:val="23"/>
                <w:lang w:val="es-MX" w:eastAsia="es-MX"/>
              </w:rPr>
            </w:pPr>
            <w:r w:rsidRPr="00885310">
              <w:rPr>
                <w:rFonts w:ascii="Calibri" w:eastAsia="Times New Roman" w:hAnsi="Calibri" w:cs="Calibri"/>
                <w:color w:val="000000"/>
                <w:sz w:val="23"/>
                <w:szCs w:val="23"/>
                <w:lang w:val="es-MX" w:eastAsia="es-MX"/>
              </w:rPr>
              <w:t>Calidad y Pertinencia de la educación</w:t>
            </w:r>
          </w:p>
        </w:tc>
        <w:tc>
          <w:tcPr>
            <w:tcW w:w="1900" w:type="dxa"/>
            <w:tcBorders>
              <w:top w:val="nil"/>
              <w:left w:val="nil"/>
              <w:bottom w:val="single" w:sz="4" w:space="0" w:color="auto"/>
              <w:right w:val="single" w:sz="8" w:space="0" w:color="auto"/>
            </w:tcBorders>
            <w:shd w:val="clear" w:color="auto" w:fill="auto"/>
            <w:noWrap/>
            <w:vAlign w:val="bottom"/>
            <w:hideMark/>
          </w:tcPr>
          <w:p w14:paraId="5CBCFB93" w14:textId="77777777" w:rsidR="00FD270A" w:rsidRPr="00885310" w:rsidRDefault="00FD270A" w:rsidP="00501902">
            <w:pPr>
              <w:jc w:val="center"/>
              <w:rPr>
                <w:rFonts w:ascii="Calibri" w:eastAsia="Times New Roman" w:hAnsi="Calibri" w:cs="Calibri"/>
                <w:color w:val="000000"/>
                <w:sz w:val="23"/>
                <w:szCs w:val="23"/>
                <w:lang w:val="es-MX" w:eastAsia="es-MX"/>
              </w:rPr>
            </w:pPr>
            <w:r w:rsidRPr="00885310">
              <w:rPr>
                <w:rFonts w:ascii="Calibri" w:eastAsia="Times New Roman" w:hAnsi="Calibri" w:cs="Calibri"/>
                <w:color w:val="000000"/>
                <w:sz w:val="23"/>
                <w:szCs w:val="23"/>
                <w:lang w:val="es-MX" w:eastAsia="es-MX"/>
              </w:rPr>
              <w:t>411</w:t>
            </w:r>
          </w:p>
        </w:tc>
        <w:tc>
          <w:tcPr>
            <w:tcW w:w="1460" w:type="dxa"/>
            <w:tcBorders>
              <w:top w:val="nil"/>
              <w:left w:val="nil"/>
              <w:bottom w:val="single" w:sz="4" w:space="0" w:color="auto"/>
              <w:right w:val="single" w:sz="8" w:space="0" w:color="auto"/>
            </w:tcBorders>
            <w:shd w:val="clear" w:color="auto" w:fill="auto"/>
            <w:noWrap/>
            <w:vAlign w:val="bottom"/>
            <w:hideMark/>
          </w:tcPr>
          <w:p w14:paraId="590C25BF" w14:textId="77777777" w:rsidR="00FD270A" w:rsidRPr="00885310" w:rsidRDefault="00FD270A" w:rsidP="00501902">
            <w:pPr>
              <w:jc w:val="center"/>
              <w:rPr>
                <w:rFonts w:ascii="Calibri" w:eastAsia="Times New Roman" w:hAnsi="Calibri" w:cs="Calibri"/>
                <w:color w:val="000000"/>
                <w:sz w:val="23"/>
                <w:szCs w:val="23"/>
                <w:lang w:val="es-MX" w:eastAsia="es-MX"/>
              </w:rPr>
            </w:pPr>
            <w:r w:rsidRPr="00885310">
              <w:rPr>
                <w:rFonts w:ascii="Calibri" w:eastAsia="Times New Roman" w:hAnsi="Calibri" w:cs="Calibri"/>
                <w:color w:val="000000"/>
                <w:sz w:val="23"/>
                <w:szCs w:val="23"/>
                <w:lang w:val="es-MX" w:eastAsia="es-MX"/>
              </w:rPr>
              <w:t>206</w:t>
            </w:r>
          </w:p>
        </w:tc>
        <w:tc>
          <w:tcPr>
            <w:tcW w:w="2280" w:type="dxa"/>
            <w:tcBorders>
              <w:top w:val="single" w:sz="4" w:space="0" w:color="8EA9DB"/>
              <w:left w:val="single" w:sz="8" w:space="0" w:color="auto"/>
              <w:bottom w:val="single" w:sz="4" w:space="0" w:color="auto"/>
              <w:right w:val="single" w:sz="8" w:space="0" w:color="auto"/>
            </w:tcBorders>
            <w:shd w:val="clear" w:color="auto" w:fill="auto"/>
            <w:noWrap/>
            <w:vAlign w:val="bottom"/>
            <w:hideMark/>
          </w:tcPr>
          <w:p w14:paraId="4210E714" w14:textId="77777777" w:rsidR="00FD270A" w:rsidRPr="00885310" w:rsidRDefault="00FD270A" w:rsidP="00501902">
            <w:pPr>
              <w:jc w:val="center"/>
              <w:rPr>
                <w:rFonts w:ascii="Calibri" w:eastAsia="Times New Roman" w:hAnsi="Calibri" w:cs="Calibri"/>
                <w:b/>
                <w:bCs/>
                <w:color w:val="000000"/>
                <w:sz w:val="23"/>
                <w:szCs w:val="23"/>
                <w:lang w:val="es-MX" w:eastAsia="es-MX"/>
              </w:rPr>
            </w:pPr>
            <w:r w:rsidRPr="00885310">
              <w:rPr>
                <w:rFonts w:ascii="Calibri" w:eastAsia="Times New Roman" w:hAnsi="Calibri" w:cs="Calibri"/>
                <w:b/>
                <w:bCs/>
                <w:color w:val="000000"/>
                <w:sz w:val="23"/>
                <w:szCs w:val="23"/>
                <w:lang w:val="es-MX" w:eastAsia="es-MX"/>
              </w:rPr>
              <w:t>50.12</w:t>
            </w:r>
          </w:p>
        </w:tc>
      </w:tr>
      <w:tr w:rsidR="00FD270A" w:rsidRPr="00885310" w14:paraId="71105533" w14:textId="77777777" w:rsidTr="00501902">
        <w:trPr>
          <w:trHeight w:val="900"/>
        </w:trPr>
        <w:tc>
          <w:tcPr>
            <w:tcW w:w="2560" w:type="dxa"/>
            <w:tcBorders>
              <w:top w:val="single" w:sz="4" w:space="0" w:color="auto"/>
              <w:left w:val="single" w:sz="8" w:space="0" w:color="auto"/>
              <w:bottom w:val="single" w:sz="4" w:space="0" w:color="auto"/>
              <w:right w:val="single" w:sz="8" w:space="0" w:color="auto"/>
            </w:tcBorders>
            <w:shd w:val="clear" w:color="D9E1F2" w:fill="D9E1F2"/>
            <w:hideMark/>
          </w:tcPr>
          <w:p w14:paraId="7DC1E700" w14:textId="035C1218" w:rsidR="00FD270A" w:rsidRPr="00885310" w:rsidRDefault="00FD270A" w:rsidP="00501902">
            <w:pPr>
              <w:rPr>
                <w:rFonts w:ascii="Calibri" w:eastAsia="Times New Roman" w:hAnsi="Calibri" w:cs="Calibri"/>
                <w:color w:val="000000"/>
                <w:sz w:val="23"/>
                <w:szCs w:val="23"/>
                <w:lang w:val="es-MX" w:eastAsia="es-MX"/>
              </w:rPr>
            </w:pPr>
            <w:r w:rsidRPr="00885310">
              <w:rPr>
                <w:rFonts w:ascii="Calibri" w:eastAsia="Times New Roman" w:hAnsi="Calibri" w:cs="Calibri"/>
                <w:color w:val="000000"/>
                <w:sz w:val="23"/>
                <w:szCs w:val="23"/>
                <w:lang w:val="es-MX" w:eastAsia="es-MX"/>
              </w:rPr>
              <w:t>Garant</w:t>
            </w:r>
            <w:r>
              <w:rPr>
                <w:rFonts w:ascii="Calibri" w:eastAsia="Times New Roman" w:hAnsi="Calibri" w:cs="Calibri"/>
                <w:color w:val="000000"/>
                <w:sz w:val="23"/>
                <w:szCs w:val="23"/>
                <w:lang w:val="es-MX" w:eastAsia="es-MX"/>
              </w:rPr>
              <w:t>í</w:t>
            </w:r>
            <w:r w:rsidRPr="00885310">
              <w:rPr>
                <w:rFonts w:ascii="Calibri" w:eastAsia="Times New Roman" w:hAnsi="Calibri" w:cs="Calibri"/>
                <w:color w:val="000000"/>
                <w:sz w:val="23"/>
                <w:szCs w:val="23"/>
                <w:lang w:val="es-MX" w:eastAsia="es-MX"/>
              </w:rPr>
              <w:t>a del derecho a la educación - atención a quejas y solicitudes</w:t>
            </w:r>
          </w:p>
        </w:tc>
        <w:tc>
          <w:tcPr>
            <w:tcW w:w="1900" w:type="dxa"/>
            <w:tcBorders>
              <w:top w:val="single" w:sz="4" w:space="0" w:color="auto"/>
              <w:left w:val="single" w:sz="8" w:space="0" w:color="auto"/>
              <w:bottom w:val="single" w:sz="4" w:space="0" w:color="auto"/>
              <w:right w:val="single" w:sz="8" w:space="0" w:color="auto"/>
            </w:tcBorders>
            <w:shd w:val="clear" w:color="D9E1F2" w:fill="D9E1F2"/>
            <w:noWrap/>
            <w:vAlign w:val="bottom"/>
            <w:hideMark/>
          </w:tcPr>
          <w:p w14:paraId="12C7F638" w14:textId="77777777" w:rsidR="00FD270A" w:rsidRPr="00885310" w:rsidRDefault="00FD270A" w:rsidP="00501902">
            <w:pPr>
              <w:jc w:val="center"/>
              <w:rPr>
                <w:rFonts w:ascii="Calibri" w:eastAsia="Times New Roman" w:hAnsi="Calibri" w:cs="Calibri"/>
                <w:color w:val="000000"/>
                <w:sz w:val="23"/>
                <w:szCs w:val="23"/>
                <w:lang w:val="es-MX" w:eastAsia="es-MX"/>
              </w:rPr>
            </w:pPr>
            <w:r w:rsidRPr="00885310">
              <w:rPr>
                <w:rFonts w:ascii="Calibri" w:eastAsia="Times New Roman" w:hAnsi="Calibri" w:cs="Calibri"/>
                <w:color w:val="000000"/>
                <w:sz w:val="23"/>
                <w:szCs w:val="23"/>
                <w:lang w:val="es-MX" w:eastAsia="es-MX"/>
              </w:rPr>
              <w:t>130</w:t>
            </w:r>
          </w:p>
        </w:tc>
        <w:tc>
          <w:tcPr>
            <w:tcW w:w="1460" w:type="dxa"/>
            <w:tcBorders>
              <w:top w:val="single" w:sz="4" w:space="0" w:color="auto"/>
              <w:left w:val="single" w:sz="8" w:space="0" w:color="auto"/>
              <w:bottom w:val="single" w:sz="4" w:space="0" w:color="auto"/>
              <w:right w:val="single" w:sz="8" w:space="0" w:color="auto"/>
            </w:tcBorders>
            <w:shd w:val="clear" w:color="D9E1F2" w:fill="D9E1F2"/>
            <w:noWrap/>
            <w:vAlign w:val="bottom"/>
            <w:hideMark/>
          </w:tcPr>
          <w:p w14:paraId="1C3D88B4" w14:textId="77777777" w:rsidR="00FD270A" w:rsidRPr="00885310" w:rsidRDefault="00FD270A" w:rsidP="00501902">
            <w:pPr>
              <w:jc w:val="center"/>
              <w:rPr>
                <w:rFonts w:ascii="Calibri" w:eastAsia="Times New Roman" w:hAnsi="Calibri" w:cs="Calibri"/>
                <w:color w:val="000000"/>
                <w:sz w:val="23"/>
                <w:szCs w:val="23"/>
                <w:lang w:val="es-MX" w:eastAsia="es-MX"/>
              </w:rPr>
            </w:pPr>
            <w:r w:rsidRPr="00885310">
              <w:rPr>
                <w:rFonts w:ascii="Calibri" w:eastAsia="Times New Roman" w:hAnsi="Calibri" w:cs="Calibri"/>
                <w:color w:val="000000"/>
                <w:sz w:val="23"/>
                <w:szCs w:val="23"/>
                <w:lang w:val="es-MX" w:eastAsia="es-MX"/>
              </w:rPr>
              <w:t>72</w:t>
            </w:r>
          </w:p>
        </w:tc>
        <w:tc>
          <w:tcPr>
            <w:tcW w:w="2280" w:type="dxa"/>
            <w:tcBorders>
              <w:top w:val="single" w:sz="4" w:space="0" w:color="8EA9DB"/>
              <w:left w:val="single" w:sz="8" w:space="0" w:color="auto"/>
              <w:bottom w:val="single" w:sz="4" w:space="0" w:color="auto"/>
              <w:right w:val="single" w:sz="8" w:space="0" w:color="auto"/>
            </w:tcBorders>
            <w:shd w:val="clear" w:color="D9E1F2" w:fill="D9E1F2"/>
            <w:noWrap/>
            <w:vAlign w:val="bottom"/>
            <w:hideMark/>
          </w:tcPr>
          <w:p w14:paraId="7FB22A5E" w14:textId="77777777" w:rsidR="00FD270A" w:rsidRPr="00885310" w:rsidRDefault="00FD270A" w:rsidP="00501902">
            <w:pPr>
              <w:jc w:val="center"/>
              <w:rPr>
                <w:rFonts w:ascii="Calibri" w:eastAsia="Times New Roman" w:hAnsi="Calibri" w:cs="Calibri"/>
                <w:b/>
                <w:bCs/>
                <w:color w:val="000000"/>
                <w:sz w:val="23"/>
                <w:szCs w:val="23"/>
                <w:lang w:val="es-MX" w:eastAsia="es-MX"/>
              </w:rPr>
            </w:pPr>
            <w:r w:rsidRPr="00885310">
              <w:rPr>
                <w:rFonts w:ascii="Calibri" w:eastAsia="Times New Roman" w:hAnsi="Calibri" w:cs="Calibri"/>
                <w:b/>
                <w:bCs/>
                <w:color w:val="000000"/>
                <w:sz w:val="23"/>
                <w:szCs w:val="23"/>
                <w:lang w:val="es-MX" w:eastAsia="es-MX"/>
              </w:rPr>
              <w:t>55.38</w:t>
            </w:r>
          </w:p>
        </w:tc>
      </w:tr>
      <w:tr w:rsidR="00FD270A" w:rsidRPr="00885310" w14:paraId="1AB205D4" w14:textId="77777777" w:rsidTr="00501902">
        <w:trPr>
          <w:trHeight w:val="900"/>
        </w:trPr>
        <w:tc>
          <w:tcPr>
            <w:tcW w:w="2560" w:type="dxa"/>
            <w:tcBorders>
              <w:top w:val="single" w:sz="4" w:space="0" w:color="auto"/>
              <w:left w:val="single" w:sz="8" w:space="0" w:color="auto"/>
              <w:bottom w:val="single" w:sz="4" w:space="0" w:color="auto"/>
              <w:right w:val="single" w:sz="8" w:space="0" w:color="auto"/>
            </w:tcBorders>
            <w:shd w:val="clear" w:color="auto" w:fill="auto"/>
            <w:hideMark/>
          </w:tcPr>
          <w:p w14:paraId="1AA18BE0" w14:textId="77777777" w:rsidR="00FD270A" w:rsidRPr="00885310" w:rsidRDefault="00FD270A" w:rsidP="00501902">
            <w:pPr>
              <w:rPr>
                <w:rFonts w:ascii="Calibri" w:eastAsia="Times New Roman" w:hAnsi="Calibri" w:cs="Calibri"/>
                <w:color w:val="000000"/>
                <w:sz w:val="23"/>
                <w:szCs w:val="23"/>
                <w:lang w:val="es-MX" w:eastAsia="es-MX"/>
              </w:rPr>
            </w:pPr>
            <w:r w:rsidRPr="00885310">
              <w:rPr>
                <w:rFonts w:ascii="Calibri" w:eastAsia="Times New Roman" w:hAnsi="Calibri" w:cs="Calibri"/>
                <w:color w:val="000000"/>
                <w:sz w:val="23"/>
                <w:szCs w:val="23"/>
                <w:lang w:val="es-MX" w:eastAsia="es-MX"/>
              </w:rPr>
              <w:t>Atención a grupos poblacionales de especial protección</w:t>
            </w:r>
          </w:p>
        </w:tc>
        <w:tc>
          <w:tcPr>
            <w:tcW w:w="1900" w:type="dxa"/>
            <w:tcBorders>
              <w:top w:val="nil"/>
              <w:left w:val="nil"/>
              <w:bottom w:val="single" w:sz="4" w:space="0" w:color="auto"/>
              <w:right w:val="single" w:sz="8" w:space="0" w:color="auto"/>
            </w:tcBorders>
            <w:shd w:val="clear" w:color="auto" w:fill="auto"/>
            <w:noWrap/>
            <w:vAlign w:val="bottom"/>
            <w:hideMark/>
          </w:tcPr>
          <w:p w14:paraId="427FDE13" w14:textId="77777777" w:rsidR="00FD270A" w:rsidRPr="00885310" w:rsidRDefault="00FD270A" w:rsidP="00501902">
            <w:pPr>
              <w:jc w:val="center"/>
              <w:rPr>
                <w:rFonts w:ascii="Calibri" w:eastAsia="Times New Roman" w:hAnsi="Calibri" w:cs="Calibri"/>
                <w:color w:val="000000"/>
                <w:sz w:val="23"/>
                <w:szCs w:val="23"/>
                <w:lang w:val="es-MX" w:eastAsia="es-MX"/>
              </w:rPr>
            </w:pPr>
            <w:r w:rsidRPr="00885310">
              <w:rPr>
                <w:rFonts w:ascii="Calibri" w:eastAsia="Times New Roman" w:hAnsi="Calibri" w:cs="Calibri"/>
                <w:color w:val="000000"/>
                <w:sz w:val="23"/>
                <w:szCs w:val="23"/>
                <w:lang w:val="es-MX" w:eastAsia="es-MX"/>
              </w:rPr>
              <w:t>125</w:t>
            </w:r>
          </w:p>
        </w:tc>
        <w:tc>
          <w:tcPr>
            <w:tcW w:w="1460" w:type="dxa"/>
            <w:tcBorders>
              <w:top w:val="nil"/>
              <w:left w:val="nil"/>
              <w:bottom w:val="single" w:sz="4" w:space="0" w:color="auto"/>
              <w:right w:val="single" w:sz="8" w:space="0" w:color="auto"/>
            </w:tcBorders>
            <w:shd w:val="clear" w:color="auto" w:fill="auto"/>
            <w:noWrap/>
            <w:vAlign w:val="bottom"/>
            <w:hideMark/>
          </w:tcPr>
          <w:p w14:paraId="3E77669B" w14:textId="77777777" w:rsidR="00FD270A" w:rsidRPr="00885310" w:rsidRDefault="00FD270A" w:rsidP="00501902">
            <w:pPr>
              <w:jc w:val="center"/>
              <w:rPr>
                <w:rFonts w:ascii="Calibri" w:eastAsia="Times New Roman" w:hAnsi="Calibri" w:cs="Calibri"/>
                <w:color w:val="000000"/>
                <w:sz w:val="23"/>
                <w:szCs w:val="23"/>
                <w:lang w:val="es-MX" w:eastAsia="es-MX"/>
              </w:rPr>
            </w:pPr>
            <w:r w:rsidRPr="00885310">
              <w:rPr>
                <w:rFonts w:ascii="Calibri" w:eastAsia="Times New Roman" w:hAnsi="Calibri" w:cs="Calibri"/>
                <w:color w:val="000000"/>
                <w:sz w:val="23"/>
                <w:szCs w:val="23"/>
                <w:lang w:val="es-MX" w:eastAsia="es-MX"/>
              </w:rPr>
              <w:t>34</w:t>
            </w:r>
          </w:p>
        </w:tc>
        <w:tc>
          <w:tcPr>
            <w:tcW w:w="2280" w:type="dxa"/>
            <w:tcBorders>
              <w:top w:val="single" w:sz="4" w:space="0" w:color="8EA9DB"/>
              <w:left w:val="single" w:sz="8" w:space="0" w:color="auto"/>
              <w:bottom w:val="single" w:sz="4" w:space="0" w:color="auto"/>
              <w:right w:val="single" w:sz="8" w:space="0" w:color="auto"/>
            </w:tcBorders>
            <w:shd w:val="clear" w:color="auto" w:fill="auto"/>
            <w:noWrap/>
            <w:vAlign w:val="bottom"/>
            <w:hideMark/>
          </w:tcPr>
          <w:p w14:paraId="05A80AC6" w14:textId="77777777" w:rsidR="00FD270A" w:rsidRPr="00885310" w:rsidRDefault="00FD270A" w:rsidP="00501902">
            <w:pPr>
              <w:jc w:val="center"/>
              <w:rPr>
                <w:rFonts w:ascii="Calibri" w:eastAsia="Times New Roman" w:hAnsi="Calibri" w:cs="Calibri"/>
                <w:b/>
                <w:bCs/>
                <w:color w:val="000000"/>
                <w:sz w:val="23"/>
                <w:szCs w:val="23"/>
                <w:lang w:val="es-MX" w:eastAsia="es-MX"/>
              </w:rPr>
            </w:pPr>
            <w:r w:rsidRPr="00885310">
              <w:rPr>
                <w:rFonts w:ascii="Calibri" w:eastAsia="Times New Roman" w:hAnsi="Calibri" w:cs="Calibri"/>
                <w:b/>
                <w:bCs/>
                <w:color w:val="000000"/>
                <w:sz w:val="23"/>
                <w:szCs w:val="23"/>
                <w:lang w:val="es-MX" w:eastAsia="es-MX"/>
              </w:rPr>
              <w:t>27.20</w:t>
            </w:r>
          </w:p>
        </w:tc>
      </w:tr>
      <w:tr w:rsidR="00FD270A" w:rsidRPr="00885310" w14:paraId="59710DC4" w14:textId="77777777" w:rsidTr="00501902">
        <w:trPr>
          <w:trHeight w:val="432"/>
        </w:trPr>
        <w:tc>
          <w:tcPr>
            <w:tcW w:w="2560" w:type="dxa"/>
            <w:tcBorders>
              <w:top w:val="single" w:sz="4" w:space="0" w:color="auto"/>
              <w:left w:val="single" w:sz="8" w:space="0" w:color="auto"/>
              <w:bottom w:val="single" w:sz="4" w:space="0" w:color="auto"/>
              <w:right w:val="single" w:sz="8" w:space="0" w:color="auto"/>
            </w:tcBorders>
            <w:shd w:val="clear" w:color="D9E1F2" w:fill="D9E1F2"/>
            <w:hideMark/>
          </w:tcPr>
          <w:p w14:paraId="3A965CD3" w14:textId="77777777" w:rsidR="00FD270A" w:rsidRPr="00885310" w:rsidRDefault="00FD270A" w:rsidP="00501902">
            <w:pPr>
              <w:rPr>
                <w:rFonts w:ascii="Calibri" w:eastAsia="Times New Roman" w:hAnsi="Calibri" w:cs="Calibri"/>
                <w:color w:val="000000"/>
                <w:sz w:val="23"/>
                <w:szCs w:val="23"/>
                <w:lang w:val="es-MX" w:eastAsia="es-MX"/>
              </w:rPr>
            </w:pPr>
            <w:r w:rsidRPr="00885310">
              <w:rPr>
                <w:rFonts w:ascii="Calibri" w:eastAsia="Times New Roman" w:hAnsi="Calibri" w:cs="Calibri"/>
                <w:color w:val="000000"/>
                <w:sz w:val="23"/>
                <w:szCs w:val="23"/>
                <w:lang w:val="es-MX" w:eastAsia="es-MX"/>
              </w:rPr>
              <w:t>Actividades priorizadas</w:t>
            </w:r>
          </w:p>
        </w:tc>
        <w:tc>
          <w:tcPr>
            <w:tcW w:w="1900" w:type="dxa"/>
            <w:tcBorders>
              <w:top w:val="single" w:sz="4" w:space="0" w:color="auto"/>
              <w:left w:val="single" w:sz="8" w:space="0" w:color="auto"/>
              <w:bottom w:val="single" w:sz="4" w:space="0" w:color="auto"/>
              <w:right w:val="single" w:sz="8" w:space="0" w:color="auto"/>
            </w:tcBorders>
            <w:shd w:val="clear" w:color="D9E1F2" w:fill="D9E1F2"/>
            <w:noWrap/>
            <w:vAlign w:val="bottom"/>
            <w:hideMark/>
          </w:tcPr>
          <w:p w14:paraId="3573D715" w14:textId="77777777" w:rsidR="00FD270A" w:rsidRPr="00885310" w:rsidRDefault="00FD270A" w:rsidP="00501902">
            <w:pPr>
              <w:jc w:val="center"/>
              <w:rPr>
                <w:rFonts w:ascii="Calibri" w:eastAsia="Times New Roman" w:hAnsi="Calibri" w:cs="Calibri"/>
                <w:color w:val="000000"/>
                <w:sz w:val="23"/>
                <w:szCs w:val="23"/>
                <w:lang w:val="es-MX" w:eastAsia="es-MX"/>
              </w:rPr>
            </w:pPr>
            <w:r w:rsidRPr="00885310">
              <w:rPr>
                <w:rFonts w:ascii="Calibri" w:eastAsia="Times New Roman" w:hAnsi="Calibri" w:cs="Calibri"/>
                <w:color w:val="000000"/>
                <w:sz w:val="23"/>
                <w:szCs w:val="23"/>
                <w:lang w:val="es-MX" w:eastAsia="es-MX"/>
              </w:rPr>
              <w:t>177</w:t>
            </w:r>
          </w:p>
        </w:tc>
        <w:tc>
          <w:tcPr>
            <w:tcW w:w="1460" w:type="dxa"/>
            <w:tcBorders>
              <w:top w:val="single" w:sz="4" w:space="0" w:color="auto"/>
              <w:left w:val="single" w:sz="8" w:space="0" w:color="auto"/>
              <w:bottom w:val="single" w:sz="4" w:space="0" w:color="auto"/>
              <w:right w:val="single" w:sz="8" w:space="0" w:color="auto"/>
            </w:tcBorders>
            <w:shd w:val="clear" w:color="D9E1F2" w:fill="D9E1F2"/>
            <w:noWrap/>
            <w:vAlign w:val="bottom"/>
            <w:hideMark/>
          </w:tcPr>
          <w:p w14:paraId="380EFE98" w14:textId="77777777" w:rsidR="00FD270A" w:rsidRPr="00885310" w:rsidRDefault="00FD270A" w:rsidP="00501902">
            <w:pPr>
              <w:jc w:val="center"/>
              <w:rPr>
                <w:rFonts w:ascii="Calibri" w:eastAsia="Times New Roman" w:hAnsi="Calibri" w:cs="Calibri"/>
                <w:color w:val="000000"/>
                <w:sz w:val="23"/>
                <w:szCs w:val="23"/>
                <w:lang w:val="es-MX" w:eastAsia="es-MX"/>
              </w:rPr>
            </w:pPr>
            <w:r w:rsidRPr="00885310">
              <w:rPr>
                <w:rFonts w:ascii="Calibri" w:eastAsia="Times New Roman" w:hAnsi="Calibri" w:cs="Calibri"/>
                <w:color w:val="000000"/>
                <w:sz w:val="23"/>
                <w:szCs w:val="23"/>
                <w:lang w:val="es-MX" w:eastAsia="es-MX"/>
              </w:rPr>
              <w:t>95</w:t>
            </w:r>
          </w:p>
        </w:tc>
        <w:tc>
          <w:tcPr>
            <w:tcW w:w="2280" w:type="dxa"/>
            <w:tcBorders>
              <w:top w:val="single" w:sz="4" w:space="0" w:color="8EA9DB"/>
              <w:left w:val="single" w:sz="8" w:space="0" w:color="auto"/>
              <w:bottom w:val="single" w:sz="4" w:space="0" w:color="auto"/>
              <w:right w:val="single" w:sz="8" w:space="0" w:color="auto"/>
            </w:tcBorders>
            <w:shd w:val="clear" w:color="D9E1F2" w:fill="D9E1F2"/>
            <w:noWrap/>
            <w:vAlign w:val="bottom"/>
            <w:hideMark/>
          </w:tcPr>
          <w:p w14:paraId="3249EF60" w14:textId="77777777" w:rsidR="00FD270A" w:rsidRPr="00885310" w:rsidRDefault="00FD270A" w:rsidP="00501902">
            <w:pPr>
              <w:jc w:val="center"/>
              <w:rPr>
                <w:rFonts w:ascii="Calibri" w:eastAsia="Times New Roman" w:hAnsi="Calibri" w:cs="Calibri"/>
                <w:b/>
                <w:bCs/>
                <w:color w:val="000000"/>
                <w:sz w:val="23"/>
                <w:szCs w:val="23"/>
                <w:lang w:val="es-MX" w:eastAsia="es-MX"/>
              </w:rPr>
            </w:pPr>
            <w:r w:rsidRPr="00885310">
              <w:rPr>
                <w:rFonts w:ascii="Calibri" w:eastAsia="Times New Roman" w:hAnsi="Calibri" w:cs="Calibri"/>
                <w:b/>
                <w:bCs/>
                <w:color w:val="000000"/>
                <w:sz w:val="23"/>
                <w:szCs w:val="23"/>
                <w:lang w:val="es-MX" w:eastAsia="es-MX"/>
              </w:rPr>
              <w:t>53.67</w:t>
            </w:r>
          </w:p>
        </w:tc>
      </w:tr>
      <w:tr w:rsidR="00FD270A" w:rsidRPr="00885310" w14:paraId="7D9119DA" w14:textId="77777777" w:rsidTr="00501902">
        <w:trPr>
          <w:trHeight w:val="420"/>
        </w:trPr>
        <w:tc>
          <w:tcPr>
            <w:tcW w:w="2560" w:type="dxa"/>
            <w:tcBorders>
              <w:top w:val="single" w:sz="4" w:space="0" w:color="auto"/>
              <w:left w:val="single" w:sz="8" w:space="0" w:color="auto"/>
              <w:bottom w:val="single" w:sz="4" w:space="0" w:color="8EA9DB"/>
              <w:right w:val="single" w:sz="8" w:space="0" w:color="auto"/>
            </w:tcBorders>
            <w:shd w:val="clear" w:color="auto" w:fill="auto"/>
            <w:hideMark/>
          </w:tcPr>
          <w:p w14:paraId="6129F483" w14:textId="77777777" w:rsidR="00FD270A" w:rsidRPr="00885310" w:rsidRDefault="00FD270A" w:rsidP="00501902">
            <w:pPr>
              <w:rPr>
                <w:rFonts w:ascii="Calibri" w:eastAsia="Times New Roman" w:hAnsi="Calibri" w:cs="Calibri"/>
                <w:color w:val="000000"/>
                <w:sz w:val="23"/>
                <w:szCs w:val="23"/>
                <w:lang w:val="es-MX" w:eastAsia="es-MX"/>
              </w:rPr>
            </w:pPr>
            <w:r w:rsidRPr="00885310">
              <w:rPr>
                <w:rFonts w:ascii="Calibri" w:eastAsia="Times New Roman" w:hAnsi="Calibri" w:cs="Calibri"/>
                <w:color w:val="000000"/>
                <w:sz w:val="23"/>
                <w:szCs w:val="23"/>
                <w:lang w:val="es-MX" w:eastAsia="es-MX"/>
              </w:rPr>
              <w:t>Otras.</w:t>
            </w:r>
          </w:p>
        </w:tc>
        <w:tc>
          <w:tcPr>
            <w:tcW w:w="1900" w:type="dxa"/>
            <w:tcBorders>
              <w:top w:val="single" w:sz="4" w:space="0" w:color="auto"/>
              <w:left w:val="single" w:sz="8" w:space="0" w:color="auto"/>
              <w:bottom w:val="single" w:sz="4" w:space="0" w:color="8EA9DB"/>
              <w:right w:val="single" w:sz="8" w:space="0" w:color="auto"/>
            </w:tcBorders>
            <w:shd w:val="clear" w:color="auto" w:fill="auto"/>
            <w:noWrap/>
            <w:vAlign w:val="bottom"/>
            <w:hideMark/>
          </w:tcPr>
          <w:p w14:paraId="21963D67" w14:textId="77777777" w:rsidR="00FD270A" w:rsidRPr="00885310" w:rsidRDefault="00FD270A" w:rsidP="00501902">
            <w:pPr>
              <w:jc w:val="center"/>
              <w:rPr>
                <w:rFonts w:ascii="Calibri" w:eastAsia="Times New Roman" w:hAnsi="Calibri" w:cs="Calibri"/>
                <w:color w:val="000000"/>
                <w:sz w:val="23"/>
                <w:szCs w:val="23"/>
                <w:lang w:val="es-MX" w:eastAsia="es-MX"/>
              </w:rPr>
            </w:pPr>
            <w:r w:rsidRPr="00885310">
              <w:rPr>
                <w:rFonts w:ascii="Calibri" w:eastAsia="Times New Roman" w:hAnsi="Calibri" w:cs="Calibri"/>
                <w:color w:val="000000"/>
                <w:sz w:val="23"/>
                <w:szCs w:val="23"/>
                <w:lang w:val="es-MX" w:eastAsia="es-MX"/>
              </w:rPr>
              <w:t>216</w:t>
            </w:r>
          </w:p>
        </w:tc>
        <w:tc>
          <w:tcPr>
            <w:tcW w:w="1460" w:type="dxa"/>
            <w:tcBorders>
              <w:top w:val="single" w:sz="4" w:space="0" w:color="auto"/>
              <w:left w:val="single" w:sz="8" w:space="0" w:color="auto"/>
              <w:bottom w:val="single" w:sz="4" w:space="0" w:color="8EA9DB"/>
              <w:right w:val="single" w:sz="8" w:space="0" w:color="auto"/>
            </w:tcBorders>
            <w:shd w:val="clear" w:color="auto" w:fill="auto"/>
            <w:noWrap/>
            <w:vAlign w:val="bottom"/>
            <w:hideMark/>
          </w:tcPr>
          <w:p w14:paraId="1BBE5CE8" w14:textId="77777777" w:rsidR="00FD270A" w:rsidRPr="00885310" w:rsidRDefault="00FD270A" w:rsidP="00501902">
            <w:pPr>
              <w:jc w:val="center"/>
              <w:rPr>
                <w:rFonts w:ascii="Calibri" w:eastAsia="Times New Roman" w:hAnsi="Calibri" w:cs="Calibri"/>
                <w:color w:val="000000"/>
                <w:sz w:val="23"/>
                <w:szCs w:val="23"/>
                <w:lang w:val="es-MX" w:eastAsia="es-MX"/>
              </w:rPr>
            </w:pPr>
            <w:r w:rsidRPr="00885310">
              <w:rPr>
                <w:rFonts w:ascii="Calibri" w:eastAsia="Times New Roman" w:hAnsi="Calibri" w:cs="Calibri"/>
                <w:color w:val="000000"/>
                <w:sz w:val="23"/>
                <w:szCs w:val="23"/>
                <w:lang w:val="es-MX" w:eastAsia="es-MX"/>
              </w:rPr>
              <w:t>159</w:t>
            </w:r>
          </w:p>
        </w:tc>
        <w:tc>
          <w:tcPr>
            <w:tcW w:w="2280" w:type="dxa"/>
            <w:tcBorders>
              <w:top w:val="single" w:sz="4" w:space="0" w:color="8EA9DB"/>
              <w:left w:val="single" w:sz="8" w:space="0" w:color="auto"/>
              <w:bottom w:val="single" w:sz="4" w:space="0" w:color="8EA9DB"/>
              <w:right w:val="single" w:sz="8" w:space="0" w:color="auto"/>
            </w:tcBorders>
            <w:shd w:val="clear" w:color="auto" w:fill="auto"/>
            <w:noWrap/>
            <w:vAlign w:val="bottom"/>
            <w:hideMark/>
          </w:tcPr>
          <w:p w14:paraId="70FEE481" w14:textId="77777777" w:rsidR="00FD270A" w:rsidRPr="00885310" w:rsidRDefault="00FD270A" w:rsidP="00501902">
            <w:pPr>
              <w:jc w:val="center"/>
              <w:rPr>
                <w:rFonts w:ascii="Calibri" w:eastAsia="Times New Roman" w:hAnsi="Calibri" w:cs="Calibri"/>
                <w:b/>
                <w:bCs/>
                <w:color w:val="000000"/>
                <w:sz w:val="23"/>
                <w:szCs w:val="23"/>
                <w:lang w:val="es-MX" w:eastAsia="es-MX"/>
              </w:rPr>
            </w:pPr>
            <w:r w:rsidRPr="00885310">
              <w:rPr>
                <w:rFonts w:ascii="Calibri" w:eastAsia="Times New Roman" w:hAnsi="Calibri" w:cs="Calibri"/>
                <w:b/>
                <w:bCs/>
                <w:color w:val="000000"/>
                <w:sz w:val="23"/>
                <w:szCs w:val="23"/>
                <w:lang w:val="es-MX" w:eastAsia="es-MX"/>
              </w:rPr>
              <w:t>73.61</w:t>
            </w:r>
          </w:p>
        </w:tc>
      </w:tr>
      <w:tr w:rsidR="00FD270A" w:rsidRPr="00885310" w14:paraId="0BAAB7F1" w14:textId="77777777" w:rsidTr="00501902">
        <w:trPr>
          <w:trHeight w:val="300"/>
        </w:trPr>
        <w:tc>
          <w:tcPr>
            <w:tcW w:w="2560" w:type="dxa"/>
            <w:tcBorders>
              <w:top w:val="single" w:sz="8" w:space="0" w:color="auto"/>
              <w:left w:val="single" w:sz="8" w:space="0" w:color="auto"/>
              <w:bottom w:val="single" w:sz="8" w:space="0" w:color="auto"/>
              <w:right w:val="single" w:sz="8" w:space="0" w:color="auto"/>
            </w:tcBorders>
            <w:shd w:val="clear" w:color="D9E1F2" w:fill="D9E1F2"/>
            <w:hideMark/>
          </w:tcPr>
          <w:p w14:paraId="4299BD1A" w14:textId="77777777" w:rsidR="00FD270A" w:rsidRPr="00885310" w:rsidRDefault="00FD270A" w:rsidP="00501902">
            <w:pPr>
              <w:jc w:val="center"/>
              <w:rPr>
                <w:rFonts w:ascii="Calibri" w:eastAsia="Times New Roman" w:hAnsi="Calibri" w:cs="Calibri"/>
                <w:b/>
                <w:bCs/>
                <w:color w:val="000000"/>
                <w:sz w:val="23"/>
                <w:szCs w:val="23"/>
                <w:lang w:val="es-MX" w:eastAsia="es-MX"/>
              </w:rPr>
            </w:pPr>
            <w:r w:rsidRPr="00885310">
              <w:rPr>
                <w:rFonts w:ascii="Calibri" w:eastAsia="Times New Roman" w:hAnsi="Calibri" w:cs="Calibri"/>
                <w:b/>
                <w:bCs/>
                <w:color w:val="000000"/>
                <w:sz w:val="23"/>
                <w:szCs w:val="23"/>
                <w:lang w:val="es-MX" w:eastAsia="es-MX"/>
              </w:rPr>
              <w:t>TOTALES</w:t>
            </w:r>
          </w:p>
        </w:tc>
        <w:tc>
          <w:tcPr>
            <w:tcW w:w="1900" w:type="dxa"/>
            <w:tcBorders>
              <w:top w:val="single" w:sz="8" w:space="0" w:color="auto"/>
              <w:left w:val="single" w:sz="8" w:space="0" w:color="auto"/>
              <w:bottom w:val="single" w:sz="8" w:space="0" w:color="auto"/>
              <w:right w:val="single" w:sz="8" w:space="0" w:color="auto"/>
            </w:tcBorders>
            <w:shd w:val="clear" w:color="D9E1F2" w:fill="D9E1F2"/>
            <w:noWrap/>
            <w:vAlign w:val="bottom"/>
            <w:hideMark/>
          </w:tcPr>
          <w:p w14:paraId="1EF8607E" w14:textId="77777777" w:rsidR="00FD270A" w:rsidRPr="00885310" w:rsidRDefault="00FD270A" w:rsidP="00501902">
            <w:pPr>
              <w:jc w:val="center"/>
              <w:rPr>
                <w:rFonts w:ascii="Calibri" w:eastAsia="Times New Roman" w:hAnsi="Calibri" w:cs="Calibri"/>
                <w:b/>
                <w:bCs/>
                <w:color w:val="000000"/>
                <w:sz w:val="23"/>
                <w:szCs w:val="23"/>
                <w:lang w:val="es-MX" w:eastAsia="es-MX"/>
              </w:rPr>
            </w:pPr>
            <w:r w:rsidRPr="00885310">
              <w:rPr>
                <w:rFonts w:ascii="Calibri" w:eastAsia="Times New Roman" w:hAnsi="Calibri" w:cs="Calibri"/>
                <w:b/>
                <w:bCs/>
                <w:color w:val="000000"/>
                <w:sz w:val="23"/>
                <w:szCs w:val="23"/>
                <w:lang w:val="es-MX" w:eastAsia="es-MX"/>
              </w:rPr>
              <w:t>2931</w:t>
            </w:r>
          </w:p>
        </w:tc>
        <w:tc>
          <w:tcPr>
            <w:tcW w:w="1460" w:type="dxa"/>
            <w:tcBorders>
              <w:top w:val="single" w:sz="8" w:space="0" w:color="auto"/>
              <w:left w:val="single" w:sz="8" w:space="0" w:color="auto"/>
              <w:bottom w:val="single" w:sz="8" w:space="0" w:color="auto"/>
              <w:right w:val="single" w:sz="8" w:space="0" w:color="auto"/>
            </w:tcBorders>
            <w:shd w:val="clear" w:color="D9E1F2" w:fill="D9E1F2"/>
            <w:noWrap/>
            <w:vAlign w:val="bottom"/>
            <w:hideMark/>
          </w:tcPr>
          <w:p w14:paraId="399A97A4" w14:textId="77777777" w:rsidR="00FD270A" w:rsidRPr="00885310" w:rsidRDefault="00FD270A" w:rsidP="00501902">
            <w:pPr>
              <w:jc w:val="center"/>
              <w:rPr>
                <w:rFonts w:ascii="Calibri" w:eastAsia="Times New Roman" w:hAnsi="Calibri" w:cs="Calibri"/>
                <w:b/>
                <w:bCs/>
                <w:color w:val="000000"/>
                <w:sz w:val="23"/>
                <w:szCs w:val="23"/>
                <w:lang w:val="es-MX" w:eastAsia="es-MX"/>
              </w:rPr>
            </w:pPr>
            <w:r w:rsidRPr="00885310">
              <w:rPr>
                <w:rFonts w:ascii="Calibri" w:eastAsia="Times New Roman" w:hAnsi="Calibri" w:cs="Calibri"/>
                <w:b/>
                <w:bCs/>
                <w:color w:val="000000"/>
                <w:sz w:val="23"/>
                <w:szCs w:val="23"/>
                <w:lang w:val="es-MX" w:eastAsia="es-MX"/>
              </w:rPr>
              <w:t>1630</w:t>
            </w:r>
          </w:p>
        </w:tc>
        <w:tc>
          <w:tcPr>
            <w:tcW w:w="2280" w:type="dxa"/>
            <w:tcBorders>
              <w:top w:val="single" w:sz="8" w:space="0" w:color="auto"/>
              <w:left w:val="single" w:sz="8" w:space="0" w:color="auto"/>
              <w:bottom w:val="single" w:sz="8" w:space="0" w:color="auto"/>
              <w:right w:val="single" w:sz="8" w:space="0" w:color="auto"/>
            </w:tcBorders>
            <w:shd w:val="clear" w:color="D9E1F2" w:fill="D9E1F2"/>
            <w:noWrap/>
            <w:vAlign w:val="bottom"/>
            <w:hideMark/>
          </w:tcPr>
          <w:p w14:paraId="7AB84E8F" w14:textId="77777777" w:rsidR="00FD270A" w:rsidRPr="00885310" w:rsidRDefault="00FD270A" w:rsidP="00501902">
            <w:pPr>
              <w:jc w:val="center"/>
              <w:rPr>
                <w:rFonts w:ascii="Calibri" w:eastAsia="Times New Roman" w:hAnsi="Calibri" w:cs="Calibri"/>
                <w:b/>
                <w:bCs/>
                <w:color w:val="000000"/>
                <w:sz w:val="23"/>
                <w:szCs w:val="23"/>
                <w:lang w:val="es-MX" w:eastAsia="es-MX"/>
              </w:rPr>
            </w:pPr>
            <w:r w:rsidRPr="00885310">
              <w:rPr>
                <w:rFonts w:ascii="Calibri" w:eastAsia="Times New Roman" w:hAnsi="Calibri" w:cs="Calibri"/>
                <w:b/>
                <w:bCs/>
                <w:color w:val="000000"/>
                <w:sz w:val="23"/>
                <w:szCs w:val="23"/>
                <w:lang w:val="es-MX" w:eastAsia="es-MX"/>
              </w:rPr>
              <w:t>55.61</w:t>
            </w:r>
          </w:p>
        </w:tc>
      </w:tr>
    </w:tbl>
    <w:p w14:paraId="56340B41" w14:textId="68E7C3ED" w:rsidR="003A0EA4" w:rsidRPr="00BE242C" w:rsidRDefault="003A0EA4" w:rsidP="00A14F25">
      <w:pPr>
        <w:spacing w:line="240" w:lineRule="auto"/>
        <w:jc w:val="both"/>
        <w:rPr>
          <w:color w:val="auto"/>
          <w:sz w:val="24"/>
          <w:szCs w:val="24"/>
        </w:rPr>
      </w:pPr>
    </w:p>
    <w:p w14:paraId="25A09016" w14:textId="2640C3DD" w:rsidR="009F6635" w:rsidRPr="00FD270A" w:rsidRDefault="00FD270A" w:rsidP="00FD270A">
      <w:pPr>
        <w:jc w:val="center"/>
        <w:rPr>
          <w:b/>
          <w:bCs/>
          <w:color w:val="auto"/>
          <w:sz w:val="24"/>
          <w:szCs w:val="24"/>
        </w:rPr>
      </w:pPr>
      <w:r w:rsidRPr="00FD270A">
        <w:rPr>
          <w:b/>
          <w:bCs/>
          <w:color w:val="auto"/>
          <w:sz w:val="24"/>
          <w:szCs w:val="24"/>
        </w:rPr>
        <w:t>Fuente: POAIV 2022</w:t>
      </w:r>
      <w:r>
        <w:rPr>
          <w:b/>
          <w:bCs/>
          <w:color w:val="auto"/>
          <w:sz w:val="24"/>
          <w:szCs w:val="24"/>
        </w:rPr>
        <w:t xml:space="preserve"> – Plan de Actuaciones.</w:t>
      </w:r>
    </w:p>
    <w:p w14:paraId="1BC45CCF" w14:textId="38AE2D14" w:rsidR="00D45D52" w:rsidRDefault="00D45D52" w:rsidP="007308A3">
      <w:pPr>
        <w:jc w:val="both"/>
        <w:rPr>
          <w:color w:val="auto"/>
          <w:sz w:val="24"/>
          <w:szCs w:val="24"/>
        </w:rPr>
      </w:pPr>
    </w:p>
    <w:p w14:paraId="0D043208" w14:textId="7500279B" w:rsidR="00FD270A" w:rsidRDefault="00FD270A" w:rsidP="007308A3">
      <w:pPr>
        <w:jc w:val="both"/>
        <w:rPr>
          <w:color w:val="auto"/>
          <w:sz w:val="24"/>
          <w:szCs w:val="24"/>
        </w:rPr>
      </w:pPr>
    </w:p>
    <w:p w14:paraId="21FC692F" w14:textId="6B5BFDEC" w:rsidR="00FD270A" w:rsidRDefault="00FD270A" w:rsidP="007308A3">
      <w:pPr>
        <w:jc w:val="both"/>
        <w:rPr>
          <w:color w:val="auto"/>
          <w:sz w:val="24"/>
          <w:szCs w:val="24"/>
        </w:rPr>
      </w:pPr>
    </w:p>
    <w:p w14:paraId="43293C5F" w14:textId="1FFDE93F" w:rsidR="00FD270A" w:rsidRDefault="00FD270A" w:rsidP="007308A3">
      <w:pPr>
        <w:jc w:val="both"/>
        <w:rPr>
          <w:color w:val="auto"/>
          <w:sz w:val="24"/>
          <w:szCs w:val="24"/>
        </w:rPr>
      </w:pPr>
    </w:p>
    <w:p w14:paraId="6AE9DC78" w14:textId="28BBC57B" w:rsidR="00FD270A" w:rsidRDefault="00FD270A" w:rsidP="007308A3">
      <w:pPr>
        <w:jc w:val="both"/>
        <w:rPr>
          <w:color w:val="auto"/>
          <w:sz w:val="24"/>
          <w:szCs w:val="24"/>
        </w:rPr>
      </w:pPr>
    </w:p>
    <w:p w14:paraId="4693CA16" w14:textId="2EBC95FE" w:rsidR="00FD270A" w:rsidRDefault="00FD270A" w:rsidP="007308A3">
      <w:pPr>
        <w:jc w:val="both"/>
        <w:rPr>
          <w:color w:val="auto"/>
          <w:sz w:val="24"/>
          <w:szCs w:val="24"/>
        </w:rPr>
      </w:pPr>
    </w:p>
    <w:p w14:paraId="13D30F9C" w14:textId="230AA173" w:rsidR="00FD270A" w:rsidRDefault="00FD270A" w:rsidP="007308A3">
      <w:pPr>
        <w:jc w:val="both"/>
        <w:rPr>
          <w:color w:val="auto"/>
          <w:sz w:val="24"/>
          <w:szCs w:val="24"/>
        </w:rPr>
      </w:pPr>
    </w:p>
    <w:p w14:paraId="0F28D60E" w14:textId="77777777" w:rsidR="00003B83" w:rsidRDefault="00003B83" w:rsidP="00B371BD">
      <w:pPr>
        <w:spacing w:line="240" w:lineRule="auto"/>
        <w:jc w:val="both"/>
        <w:rPr>
          <w:color w:val="auto"/>
          <w:szCs w:val="28"/>
        </w:rPr>
      </w:pPr>
    </w:p>
    <w:p w14:paraId="5C8A3D6F" w14:textId="77777777" w:rsidR="00003B83" w:rsidRDefault="00003B83" w:rsidP="00B371BD">
      <w:pPr>
        <w:spacing w:line="240" w:lineRule="auto"/>
        <w:jc w:val="both"/>
        <w:rPr>
          <w:color w:val="auto"/>
          <w:szCs w:val="28"/>
        </w:rPr>
      </w:pPr>
    </w:p>
    <w:p w14:paraId="099A805C" w14:textId="2CA8A337" w:rsidR="008E3DE0" w:rsidRDefault="00FD270A" w:rsidP="00B371BD">
      <w:pPr>
        <w:spacing w:line="240" w:lineRule="auto"/>
        <w:jc w:val="both"/>
        <w:rPr>
          <w:color w:val="auto"/>
          <w:szCs w:val="28"/>
        </w:rPr>
      </w:pPr>
      <w:r w:rsidRPr="00FD270A">
        <w:rPr>
          <w:color w:val="auto"/>
          <w:szCs w:val="28"/>
        </w:rPr>
        <w:t xml:space="preserve">La tabla </w:t>
      </w:r>
      <w:r>
        <w:rPr>
          <w:color w:val="auto"/>
          <w:szCs w:val="28"/>
        </w:rPr>
        <w:t xml:space="preserve">anterior </w:t>
      </w:r>
      <w:r w:rsidR="0017752A">
        <w:rPr>
          <w:color w:val="auto"/>
          <w:szCs w:val="28"/>
        </w:rPr>
        <w:t>indica el avance de cada uno de los temas que hacen parte del POAIV 2022, liderado por el EIV. El avance es el resultado de observar lo planeado frente a lo ejecutado. El objeto a comparar, son los establecimientos educativos (Educación Inicial, Prescolar, básica y Media, Educación para el Trabajo y el Desarrollo Humano</w:t>
      </w:r>
      <w:r w:rsidR="008E3DE0">
        <w:rPr>
          <w:color w:val="auto"/>
          <w:szCs w:val="28"/>
        </w:rPr>
        <w:t xml:space="preserve"> y </w:t>
      </w:r>
      <w:r w:rsidR="0017752A">
        <w:rPr>
          <w:color w:val="auto"/>
          <w:szCs w:val="28"/>
        </w:rPr>
        <w:t>Educación de Adultos</w:t>
      </w:r>
      <w:r w:rsidR="008E3DE0">
        <w:rPr>
          <w:color w:val="auto"/>
          <w:szCs w:val="28"/>
        </w:rPr>
        <w:t xml:space="preserve">), durante el primer semestre del año 2022. </w:t>
      </w:r>
    </w:p>
    <w:p w14:paraId="7DC56C8F" w14:textId="77777777" w:rsidR="008E3DE0" w:rsidRDefault="008E3DE0" w:rsidP="00B371BD">
      <w:pPr>
        <w:spacing w:line="240" w:lineRule="auto"/>
        <w:jc w:val="both"/>
        <w:rPr>
          <w:color w:val="auto"/>
          <w:szCs w:val="28"/>
        </w:rPr>
      </w:pPr>
    </w:p>
    <w:p w14:paraId="2638BA9D" w14:textId="74FF902D" w:rsidR="00E912C4" w:rsidRDefault="00E912C4" w:rsidP="00B371BD">
      <w:pPr>
        <w:spacing w:line="240" w:lineRule="auto"/>
        <w:jc w:val="both"/>
        <w:rPr>
          <w:color w:val="auto"/>
          <w:szCs w:val="28"/>
        </w:rPr>
      </w:pPr>
      <w:r>
        <w:rPr>
          <w:color w:val="auto"/>
          <w:szCs w:val="28"/>
        </w:rPr>
        <w:t xml:space="preserve">Para el año 2022 se ha planeado </w:t>
      </w:r>
      <w:r w:rsidR="003175B2">
        <w:rPr>
          <w:color w:val="auto"/>
          <w:szCs w:val="28"/>
        </w:rPr>
        <w:t>desarrollar</w:t>
      </w:r>
      <w:r>
        <w:rPr>
          <w:color w:val="auto"/>
          <w:szCs w:val="28"/>
        </w:rPr>
        <w:t xml:space="preserve"> 2931 </w:t>
      </w:r>
      <w:r w:rsidR="003175B2">
        <w:rPr>
          <w:color w:val="auto"/>
          <w:szCs w:val="28"/>
        </w:rPr>
        <w:t xml:space="preserve">acciones a </w:t>
      </w:r>
      <w:r>
        <w:rPr>
          <w:color w:val="auto"/>
          <w:szCs w:val="28"/>
        </w:rPr>
        <w:t>sedes educativas</w:t>
      </w:r>
      <w:r w:rsidR="003175B2">
        <w:rPr>
          <w:color w:val="auto"/>
          <w:szCs w:val="28"/>
        </w:rPr>
        <w:t>.</w:t>
      </w:r>
      <w:r>
        <w:rPr>
          <w:color w:val="auto"/>
          <w:szCs w:val="28"/>
        </w:rPr>
        <w:t xml:space="preserve"> </w:t>
      </w:r>
      <w:r w:rsidR="003175B2">
        <w:rPr>
          <w:color w:val="auto"/>
          <w:szCs w:val="28"/>
        </w:rPr>
        <w:t>D</w:t>
      </w:r>
      <w:r>
        <w:rPr>
          <w:color w:val="auto"/>
          <w:szCs w:val="28"/>
        </w:rPr>
        <w:t>e</w:t>
      </w:r>
      <w:r w:rsidR="003175B2">
        <w:rPr>
          <w:color w:val="auto"/>
          <w:szCs w:val="28"/>
        </w:rPr>
        <w:t xml:space="preserve"> las cuales se ha logrado</w:t>
      </w:r>
      <w:r>
        <w:rPr>
          <w:color w:val="auto"/>
          <w:szCs w:val="28"/>
        </w:rPr>
        <w:t xml:space="preserve"> </w:t>
      </w:r>
      <w:r w:rsidR="003175B2">
        <w:rPr>
          <w:color w:val="auto"/>
          <w:szCs w:val="28"/>
        </w:rPr>
        <w:t>e</w:t>
      </w:r>
      <w:r>
        <w:rPr>
          <w:color w:val="auto"/>
          <w:szCs w:val="28"/>
        </w:rPr>
        <w:t xml:space="preserve">l 55.61%. </w:t>
      </w:r>
      <w:r w:rsidR="00BB55A9">
        <w:rPr>
          <w:color w:val="auto"/>
          <w:szCs w:val="28"/>
        </w:rPr>
        <w:t>En general, el 78,57% de los temas</w:t>
      </w:r>
      <w:r w:rsidR="003175B2">
        <w:rPr>
          <w:color w:val="auto"/>
          <w:szCs w:val="28"/>
        </w:rPr>
        <w:t xml:space="preserve"> ejecutados</w:t>
      </w:r>
      <w:r w:rsidR="00BB55A9">
        <w:rPr>
          <w:color w:val="auto"/>
          <w:szCs w:val="28"/>
        </w:rPr>
        <w:t xml:space="preserve"> supera </w:t>
      </w:r>
      <w:r w:rsidR="00B06D33">
        <w:rPr>
          <w:color w:val="auto"/>
          <w:szCs w:val="28"/>
        </w:rPr>
        <w:t>el</w:t>
      </w:r>
      <w:r w:rsidR="00BB55A9">
        <w:rPr>
          <w:color w:val="auto"/>
          <w:szCs w:val="28"/>
        </w:rPr>
        <w:t xml:space="preserve"> 50% de su ejecución, al finalizar el primer semestre del año 2022.  Este r</w:t>
      </w:r>
      <w:r>
        <w:rPr>
          <w:color w:val="auto"/>
          <w:szCs w:val="28"/>
        </w:rPr>
        <w:t xml:space="preserve">esultado indica la regularidad del trabajo del EIV y la buena posibilidad de lograr, al final del año 2022, </w:t>
      </w:r>
      <w:r w:rsidR="00190B74">
        <w:rPr>
          <w:color w:val="auto"/>
          <w:szCs w:val="28"/>
        </w:rPr>
        <w:t>la afectación del</w:t>
      </w:r>
      <w:r w:rsidR="002C0B64">
        <w:rPr>
          <w:color w:val="auto"/>
          <w:szCs w:val="28"/>
        </w:rPr>
        <w:t xml:space="preserve"> 100% de los establecimientos educativos focalizados</w:t>
      </w:r>
      <w:r w:rsidR="00BB55A9">
        <w:rPr>
          <w:color w:val="auto"/>
          <w:szCs w:val="28"/>
        </w:rPr>
        <w:t xml:space="preserve"> y el desarrollo de todos los temas definidos en el POAIV.</w:t>
      </w:r>
      <w:r w:rsidR="002C0B64">
        <w:rPr>
          <w:color w:val="auto"/>
          <w:szCs w:val="28"/>
        </w:rPr>
        <w:t xml:space="preserve"> </w:t>
      </w:r>
    </w:p>
    <w:p w14:paraId="037C3B59" w14:textId="77777777" w:rsidR="00E912C4" w:rsidRDefault="00E912C4" w:rsidP="00B371BD">
      <w:pPr>
        <w:spacing w:line="240" w:lineRule="auto"/>
        <w:jc w:val="both"/>
        <w:rPr>
          <w:color w:val="auto"/>
          <w:szCs w:val="28"/>
        </w:rPr>
      </w:pPr>
    </w:p>
    <w:p w14:paraId="31AC683A" w14:textId="4FFD89E4" w:rsidR="00CD1DCA" w:rsidRDefault="008E3DE0" w:rsidP="00B371BD">
      <w:pPr>
        <w:spacing w:line="240" w:lineRule="auto"/>
        <w:jc w:val="both"/>
        <w:rPr>
          <w:color w:val="auto"/>
          <w:szCs w:val="28"/>
        </w:rPr>
      </w:pPr>
      <w:r>
        <w:rPr>
          <w:color w:val="auto"/>
          <w:szCs w:val="28"/>
        </w:rPr>
        <w:t xml:space="preserve">Al iniciar el año 2022, la secretaría de educación y cultura del Tolima, concentró su esfuerzo en lograr que las instituciones educativas y sus respectivas sedes, regresaran lo más pronto a la presencialidad, independientemente de que un buen número de ellas mantenía sus necesidades de infraestructura, dotación, </w:t>
      </w:r>
      <w:r w:rsidR="00CD1DCA">
        <w:rPr>
          <w:color w:val="auto"/>
          <w:szCs w:val="28"/>
        </w:rPr>
        <w:t xml:space="preserve">servicios de apoyo indispensables (Aseo, Vigilancia, Orientación Escolar, Conectividad, entre otros). </w:t>
      </w:r>
    </w:p>
    <w:p w14:paraId="03266308" w14:textId="77777777" w:rsidR="00CD1DCA" w:rsidRDefault="00CD1DCA" w:rsidP="00B371BD">
      <w:pPr>
        <w:spacing w:line="240" w:lineRule="auto"/>
        <w:jc w:val="both"/>
        <w:rPr>
          <w:color w:val="auto"/>
          <w:szCs w:val="28"/>
        </w:rPr>
      </w:pPr>
    </w:p>
    <w:p w14:paraId="348800BA" w14:textId="77777777" w:rsidR="00B371BD" w:rsidRDefault="00CD1DCA" w:rsidP="00B371BD">
      <w:pPr>
        <w:spacing w:line="240" w:lineRule="auto"/>
        <w:jc w:val="both"/>
        <w:rPr>
          <w:color w:val="auto"/>
          <w:szCs w:val="28"/>
        </w:rPr>
      </w:pPr>
      <w:r>
        <w:rPr>
          <w:color w:val="auto"/>
          <w:szCs w:val="28"/>
        </w:rPr>
        <w:t>Así las cosas, el EIV concentro su acompañamiento en los primeros tres meses del año, llegando al 80.42% de los establecimientos planeados. Hoy se puede afirmar, que la presencialidad en los establecimientos educativos oficiales, es mayor al 95% de los estudiantes matriculados</w:t>
      </w:r>
      <w:r w:rsidR="00B371BD">
        <w:rPr>
          <w:color w:val="auto"/>
          <w:szCs w:val="28"/>
        </w:rPr>
        <w:t xml:space="preserve"> y que el retorno a la presencialidad, fue progresivo. Buena parte de este logro se debe a la actitud de directivos docentes y docentes y al control que se originó, desde el EIV. </w:t>
      </w:r>
    </w:p>
    <w:p w14:paraId="28AA7F66" w14:textId="77777777" w:rsidR="00B371BD" w:rsidRDefault="00B371BD" w:rsidP="00B371BD">
      <w:pPr>
        <w:spacing w:line="240" w:lineRule="auto"/>
        <w:jc w:val="both"/>
        <w:rPr>
          <w:color w:val="auto"/>
          <w:szCs w:val="28"/>
        </w:rPr>
      </w:pPr>
    </w:p>
    <w:p w14:paraId="129D149E" w14:textId="1B4F4F50" w:rsidR="00AF5BC0" w:rsidRDefault="00F448A6" w:rsidP="00B371BD">
      <w:pPr>
        <w:spacing w:line="240" w:lineRule="auto"/>
        <w:jc w:val="both"/>
        <w:rPr>
          <w:color w:val="auto"/>
          <w:szCs w:val="28"/>
        </w:rPr>
      </w:pPr>
      <w:r>
        <w:rPr>
          <w:color w:val="auto"/>
          <w:szCs w:val="28"/>
        </w:rPr>
        <w:t xml:space="preserve">Tomando como referencia los resultados del año 2021, en el año 2022, el EIV decidió atender más de cerca a los establecimientos educativos en su tarea de socializar y </w:t>
      </w:r>
      <w:r w:rsidR="00AF5BC0">
        <w:rPr>
          <w:color w:val="auto"/>
          <w:szCs w:val="28"/>
        </w:rPr>
        <w:t xml:space="preserve">dar a </w:t>
      </w:r>
      <w:r>
        <w:rPr>
          <w:color w:val="auto"/>
          <w:szCs w:val="28"/>
        </w:rPr>
        <w:t xml:space="preserve">conocer el Modelo de Gestión de la Educación Inicial. Los resultados indican que se llegó al 74.29% de establecimientos educativos focalizados. </w:t>
      </w:r>
      <w:r w:rsidR="00AF5BC0">
        <w:rPr>
          <w:color w:val="auto"/>
          <w:szCs w:val="28"/>
        </w:rPr>
        <w:t xml:space="preserve">Esta es una tarea que se desarrolla con el acompañamiento del profesional del área de calidad y MEN, a través de los operadores externos contratados para estos temas. </w:t>
      </w:r>
    </w:p>
    <w:p w14:paraId="4CA266FC" w14:textId="0D55B0DC" w:rsidR="00AF5BC0" w:rsidRDefault="00AF5BC0" w:rsidP="00B371BD">
      <w:pPr>
        <w:spacing w:line="240" w:lineRule="auto"/>
        <w:jc w:val="both"/>
        <w:rPr>
          <w:color w:val="auto"/>
          <w:szCs w:val="28"/>
        </w:rPr>
      </w:pPr>
    </w:p>
    <w:p w14:paraId="137B8320" w14:textId="0B4B0483" w:rsidR="00003B83" w:rsidRDefault="00AF5BC0" w:rsidP="00B371BD">
      <w:pPr>
        <w:spacing w:line="240" w:lineRule="auto"/>
        <w:jc w:val="both"/>
        <w:rPr>
          <w:color w:val="auto"/>
          <w:szCs w:val="28"/>
        </w:rPr>
      </w:pPr>
      <w:r>
        <w:rPr>
          <w:color w:val="auto"/>
          <w:szCs w:val="28"/>
        </w:rPr>
        <w:t xml:space="preserve">En la tabla sobresale igualmente los resultados de </w:t>
      </w:r>
      <w:r w:rsidR="00227070">
        <w:rPr>
          <w:color w:val="auto"/>
          <w:szCs w:val="28"/>
        </w:rPr>
        <w:t>otros temas no registrados</w:t>
      </w:r>
      <w:r>
        <w:rPr>
          <w:color w:val="auto"/>
          <w:szCs w:val="28"/>
        </w:rPr>
        <w:t xml:space="preserve"> de manera particular. En este grupo figura la evaluación de desempeño</w:t>
      </w:r>
      <w:r w:rsidR="00227070">
        <w:rPr>
          <w:color w:val="auto"/>
          <w:szCs w:val="28"/>
        </w:rPr>
        <w:t xml:space="preserve"> y el acompañamiento al desarrollo de la política Evaluar para Avanzar, liderada </w:t>
      </w:r>
      <w:r w:rsidR="00227070">
        <w:rPr>
          <w:color w:val="auto"/>
          <w:szCs w:val="28"/>
        </w:rPr>
        <w:lastRenderedPageBreak/>
        <w:t xml:space="preserve">por el MEN, desde el año 2020, entre otras. El avance es del 73.61%. Es preciso mencionar que la evaluación de desempeño de rectores, y en algunos </w:t>
      </w:r>
    </w:p>
    <w:p w14:paraId="2B6E9D33" w14:textId="41F6C308" w:rsidR="00AF5BC0" w:rsidRDefault="00227070" w:rsidP="00B371BD">
      <w:pPr>
        <w:spacing w:line="240" w:lineRule="auto"/>
        <w:jc w:val="both"/>
        <w:rPr>
          <w:color w:val="auto"/>
          <w:szCs w:val="28"/>
        </w:rPr>
      </w:pPr>
      <w:r>
        <w:rPr>
          <w:color w:val="auto"/>
          <w:szCs w:val="28"/>
        </w:rPr>
        <w:t xml:space="preserve">casos de docentes del 1278, son evaluados por Supervisores y </w:t>
      </w:r>
      <w:r w:rsidR="00B06D33">
        <w:rPr>
          <w:color w:val="auto"/>
          <w:szCs w:val="28"/>
        </w:rPr>
        <w:t>directores</w:t>
      </w:r>
      <w:r>
        <w:rPr>
          <w:color w:val="auto"/>
          <w:szCs w:val="28"/>
        </w:rPr>
        <w:t xml:space="preserve"> de Núcleo, responsabilidad asignada por la alta dirección.  </w:t>
      </w:r>
      <w:r w:rsidR="00AF5BC0">
        <w:rPr>
          <w:color w:val="auto"/>
          <w:szCs w:val="28"/>
        </w:rPr>
        <w:t xml:space="preserve"> </w:t>
      </w:r>
    </w:p>
    <w:p w14:paraId="7E564B8A" w14:textId="77777777" w:rsidR="00003B83" w:rsidRDefault="00003B83" w:rsidP="00B371BD">
      <w:pPr>
        <w:spacing w:line="240" w:lineRule="auto"/>
        <w:jc w:val="both"/>
        <w:rPr>
          <w:color w:val="auto"/>
          <w:szCs w:val="28"/>
        </w:rPr>
      </w:pPr>
    </w:p>
    <w:p w14:paraId="4F492253" w14:textId="1D2DD221" w:rsidR="009904D8" w:rsidRPr="009904D8" w:rsidRDefault="00003B83" w:rsidP="009904D8">
      <w:pPr>
        <w:spacing w:line="240" w:lineRule="auto"/>
        <w:jc w:val="both"/>
        <w:rPr>
          <w:rFonts w:eastAsia="Times New Roman" w:cstheme="minorHAnsi"/>
          <w:color w:val="000000"/>
          <w:lang w:eastAsia="es-CO"/>
        </w:rPr>
      </w:pPr>
      <w:r>
        <w:rPr>
          <w:color w:val="auto"/>
          <w:szCs w:val="28"/>
        </w:rPr>
        <w:t xml:space="preserve">La tabla también indica los temas que deben inquietar al EIV, en el tiempo que falta </w:t>
      </w:r>
      <w:r w:rsidR="00ED7488">
        <w:rPr>
          <w:color w:val="auto"/>
          <w:szCs w:val="28"/>
        </w:rPr>
        <w:t>d</w:t>
      </w:r>
      <w:r>
        <w:rPr>
          <w:color w:val="auto"/>
          <w:szCs w:val="28"/>
        </w:rPr>
        <w:t xml:space="preserve">el año 2022. </w:t>
      </w:r>
      <w:r w:rsidR="00ED7488">
        <w:rPr>
          <w:color w:val="auto"/>
          <w:szCs w:val="28"/>
        </w:rPr>
        <w:t xml:space="preserve">La mayor dedicación debe ocurrir hacia la educación privada, pues solamente se la logrado el 8.81%, especialmente por que en este tema se espera que las acciones: </w:t>
      </w:r>
      <w:r w:rsidR="009904D8" w:rsidRPr="009904D8">
        <w:rPr>
          <w:rFonts w:cstheme="minorHAnsi"/>
          <w:color w:val="auto"/>
          <w:szCs w:val="28"/>
        </w:rPr>
        <w:t xml:space="preserve">1. </w:t>
      </w:r>
      <w:r w:rsidR="009904D8" w:rsidRPr="009904D8">
        <w:rPr>
          <w:rFonts w:eastAsia="Times New Roman" w:cstheme="minorHAnsi"/>
          <w:color w:val="000000"/>
          <w:lang w:eastAsia="es-CO"/>
        </w:rPr>
        <w:t>Realizar visitas de evaluación externa que complementen la evaluación institucional y garantizar la idoneidad de la información registrada por los Colegios Privados en la aplicación EVI</w:t>
      </w:r>
      <w:r w:rsidR="009904D8">
        <w:rPr>
          <w:rFonts w:eastAsia="Times New Roman" w:cstheme="minorHAnsi"/>
          <w:color w:val="000000"/>
          <w:lang w:eastAsia="es-CO"/>
        </w:rPr>
        <w:t xml:space="preserve">; 2. </w:t>
      </w:r>
    </w:p>
    <w:p w14:paraId="2B7CFCAA" w14:textId="00DB851B" w:rsidR="009904D8" w:rsidRDefault="009904D8" w:rsidP="009904D8">
      <w:pPr>
        <w:spacing w:line="240" w:lineRule="auto"/>
        <w:jc w:val="both"/>
        <w:rPr>
          <w:rFonts w:eastAsia="Times New Roman" w:cstheme="minorHAnsi"/>
          <w:color w:val="000000"/>
          <w:lang w:eastAsia="es-CO"/>
        </w:rPr>
      </w:pPr>
      <w:r w:rsidRPr="009904D8">
        <w:rPr>
          <w:rFonts w:eastAsia="Times New Roman" w:cstheme="minorHAnsi"/>
          <w:color w:val="000000"/>
          <w:lang w:eastAsia="es-CO"/>
        </w:rPr>
        <w:t>Hacer seguimiento a los EE clasificados en régimen controlado con el propósito de asegurar que superen las causas que motivaron esta clasificación</w:t>
      </w:r>
      <w:r>
        <w:rPr>
          <w:rFonts w:eastAsia="Times New Roman" w:cstheme="minorHAnsi"/>
          <w:color w:val="000000"/>
          <w:lang w:eastAsia="es-CO"/>
        </w:rPr>
        <w:t xml:space="preserve">; 3. </w:t>
      </w:r>
      <w:r w:rsidRPr="009904D8">
        <w:rPr>
          <w:rFonts w:eastAsia="Times New Roman" w:cstheme="minorHAnsi"/>
          <w:color w:val="000000"/>
          <w:lang w:eastAsia="es-CO"/>
        </w:rPr>
        <w:t>Garantizar la idoneidad de la información registrada por los colegios privados en el aplicativo EVI</w:t>
      </w:r>
      <w:r>
        <w:rPr>
          <w:rFonts w:eastAsia="Times New Roman" w:cstheme="minorHAnsi"/>
          <w:color w:val="000000"/>
          <w:lang w:eastAsia="es-CO"/>
        </w:rPr>
        <w:t xml:space="preserve">; 4. </w:t>
      </w:r>
      <w:r w:rsidRPr="009904D8">
        <w:rPr>
          <w:rFonts w:eastAsia="Times New Roman" w:cstheme="minorHAnsi"/>
          <w:color w:val="000000"/>
          <w:lang w:eastAsia="es-CO"/>
        </w:rPr>
        <w:t xml:space="preserve">Apoyar los procesos sancionatorios que deben adelantarse cuando se reciban quejas y se demuestre que los EE han incurrido en conductas irregulares, en el </w:t>
      </w:r>
      <w:r w:rsidR="00190B74">
        <w:rPr>
          <w:rFonts w:eastAsia="Times New Roman" w:cstheme="minorHAnsi"/>
          <w:color w:val="000000"/>
          <w:lang w:eastAsia="es-CO"/>
        </w:rPr>
        <w:t>m</w:t>
      </w:r>
      <w:r w:rsidRPr="009904D8">
        <w:rPr>
          <w:rFonts w:eastAsia="Times New Roman" w:cstheme="minorHAnsi"/>
          <w:color w:val="000000"/>
          <w:lang w:eastAsia="es-CO"/>
        </w:rPr>
        <w:t>arco del debido proceso</w:t>
      </w:r>
      <w:r>
        <w:rPr>
          <w:rFonts w:eastAsia="Times New Roman" w:cstheme="minorHAnsi"/>
          <w:color w:val="000000"/>
          <w:lang w:eastAsia="es-CO"/>
        </w:rPr>
        <w:t xml:space="preserve">; 5. </w:t>
      </w:r>
      <w:r w:rsidRPr="009904D8">
        <w:rPr>
          <w:rFonts w:eastAsia="Times New Roman" w:cstheme="minorHAnsi"/>
          <w:color w:val="000000"/>
          <w:lang w:eastAsia="es-CO"/>
        </w:rPr>
        <w:t>Prestar asistencia técnica a los EE privados en temas legalización de la oferta de servicios educativos, expedición de licencias de funcionamiento, aprobación de programas, registro de novedades, calendario escolar e intensidades horarias mínimas, jornada única, entre otros</w:t>
      </w:r>
      <w:r>
        <w:rPr>
          <w:rFonts w:eastAsia="Times New Roman" w:cstheme="minorHAnsi"/>
          <w:color w:val="000000"/>
          <w:lang w:eastAsia="es-CO"/>
        </w:rPr>
        <w:t xml:space="preserve"> y 6. </w:t>
      </w:r>
      <w:r w:rsidRPr="009904D8">
        <w:rPr>
          <w:rFonts w:eastAsia="Times New Roman" w:cstheme="minorHAnsi"/>
          <w:color w:val="000000"/>
          <w:lang w:eastAsia="es-CO"/>
        </w:rPr>
        <w:t>Verificar el procedimiento aplicado en los EE No Oficiales para la aprobación de los costos educativos, el reporte de la autoevaluación institucional y los procesos seguidos para la fijación de listas de útiles, textos y materiales escolares</w:t>
      </w:r>
      <w:r>
        <w:rPr>
          <w:rFonts w:eastAsia="Times New Roman" w:cstheme="minorHAnsi"/>
          <w:color w:val="000000"/>
          <w:lang w:eastAsia="es-CO"/>
        </w:rPr>
        <w:t xml:space="preserve">, son acciones que deben ocurrir con el 100% de los establecimientos focalizados. </w:t>
      </w:r>
    </w:p>
    <w:p w14:paraId="12B8D9FF" w14:textId="77777777" w:rsidR="009904D8" w:rsidRDefault="009904D8" w:rsidP="009904D8">
      <w:pPr>
        <w:spacing w:line="240" w:lineRule="auto"/>
        <w:jc w:val="both"/>
        <w:rPr>
          <w:rFonts w:eastAsia="Times New Roman" w:cstheme="minorHAnsi"/>
          <w:color w:val="000000"/>
          <w:lang w:eastAsia="es-CO"/>
        </w:rPr>
      </w:pPr>
    </w:p>
    <w:p w14:paraId="7BD71B20" w14:textId="2CEFDC10" w:rsidR="009904D8" w:rsidRDefault="009904D8" w:rsidP="009904D8">
      <w:pPr>
        <w:spacing w:line="240" w:lineRule="auto"/>
        <w:jc w:val="both"/>
        <w:rPr>
          <w:rFonts w:eastAsia="Times New Roman" w:cstheme="minorHAnsi"/>
          <w:color w:val="000000"/>
          <w:lang w:eastAsia="es-CO"/>
        </w:rPr>
      </w:pPr>
      <w:r>
        <w:rPr>
          <w:rFonts w:eastAsia="Times New Roman" w:cstheme="minorHAnsi"/>
          <w:color w:val="000000"/>
          <w:lang w:eastAsia="es-CO"/>
        </w:rPr>
        <w:t xml:space="preserve">A la educación privada se suma la atención a grupos poblacionales de especial protección, no solo porque están registradas en el POAIV sino porque es un reclamo generalizado de los establecimientos educativos, por la falta de estrategias, acciones y atención oportuna y por todo el año escolar, para estos grupos de especial atención, según lo definido en las normas que refieren estos compromisos del estado. Inquieta que solo se haya logrado presencia en el 27.20% de los planteles focalizados, a pesar de la importancia y su relacionamiento con la garantía del derecho a la educación. </w:t>
      </w:r>
    </w:p>
    <w:p w14:paraId="08DA0A03" w14:textId="2FBED169" w:rsidR="009904D8" w:rsidRDefault="009904D8" w:rsidP="009904D8">
      <w:pPr>
        <w:spacing w:line="240" w:lineRule="auto"/>
        <w:jc w:val="both"/>
        <w:rPr>
          <w:rFonts w:eastAsia="Times New Roman" w:cstheme="minorHAnsi"/>
          <w:color w:val="000000"/>
          <w:lang w:eastAsia="es-CO"/>
        </w:rPr>
      </w:pPr>
    </w:p>
    <w:p w14:paraId="42D0F565" w14:textId="7C5CF590" w:rsidR="00F55531" w:rsidRDefault="009904D8" w:rsidP="00F55531">
      <w:pPr>
        <w:spacing w:line="240" w:lineRule="auto"/>
        <w:jc w:val="both"/>
        <w:rPr>
          <w:rFonts w:eastAsia="Times New Roman" w:cstheme="minorHAnsi"/>
          <w:color w:val="000000"/>
          <w:lang w:eastAsia="es-CO"/>
        </w:rPr>
      </w:pPr>
      <w:r>
        <w:rPr>
          <w:rFonts w:eastAsia="Times New Roman" w:cstheme="minorHAnsi"/>
          <w:color w:val="000000"/>
          <w:lang w:eastAsia="es-CO"/>
        </w:rPr>
        <w:t>Igual atención se debe prestar a las acciones que desarrollan el tema de convivencia escolar. Solo se ha llegado al 44.35% de sedes elegidas</w:t>
      </w:r>
      <w:r w:rsidR="00F55531">
        <w:rPr>
          <w:rFonts w:eastAsia="Times New Roman" w:cstheme="minorHAnsi"/>
          <w:color w:val="000000"/>
          <w:lang w:eastAsia="es-CO"/>
        </w:rPr>
        <w:t xml:space="preserve">, a pesar de que las acciones: 1. </w:t>
      </w:r>
      <w:r w:rsidRPr="009904D8">
        <w:rPr>
          <w:rFonts w:eastAsia="Times New Roman" w:cstheme="minorHAnsi"/>
          <w:color w:val="000000"/>
          <w:lang w:eastAsia="es-CO"/>
        </w:rPr>
        <w:t>Verificar el funcionamiento del comité escolar de convivencia y el cumplimiento de sus funciones y revisar anualmente las condiciones de convivencia escolar de los EE identificando los factores de riesgo y los factores protectores que incidan en la convivencia escolar y en la protección de los derechos humanos, sexuales y reproductivos</w:t>
      </w:r>
      <w:r w:rsidR="00F55531">
        <w:rPr>
          <w:rFonts w:eastAsia="Times New Roman" w:cstheme="minorHAnsi"/>
          <w:color w:val="000000"/>
          <w:lang w:eastAsia="es-CO"/>
        </w:rPr>
        <w:t xml:space="preserve">; 2. </w:t>
      </w:r>
      <w:r w:rsidRPr="009904D8">
        <w:rPr>
          <w:rFonts w:eastAsia="Times New Roman" w:cstheme="minorHAnsi"/>
          <w:color w:val="000000"/>
          <w:lang w:eastAsia="es-CO"/>
        </w:rPr>
        <w:t>Verificar los mecanismos de activación de la Ruta de Atención Integral para la Convivencia Escolar y el reportes de las situaciones tipo II y tipo III y verificar los reportes en el SIUCE</w:t>
      </w:r>
      <w:r w:rsidR="00F55531">
        <w:rPr>
          <w:rFonts w:eastAsia="Times New Roman" w:cstheme="minorHAnsi"/>
          <w:color w:val="000000"/>
          <w:lang w:eastAsia="es-CO"/>
        </w:rPr>
        <w:t xml:space="preserve">; 3. </w:t>
      </w:r>
      <w:r w:rsidRPr="009904D8">
        <w:rPr>
          <w:rFonts w:eastAsia="Times New Roman" w:cstheme="minorHAnsi"/>
          <w:color w:val="000000"/>
          <w:lang w:eastAsia="es-CO"/>
        </w:rPr>
        <w:t xml:space="preserve">Fortalecer los sistemas de gobierno y de convivencia escolar </w:t>
      </w:r>
    </w:p>
    <w:p w14:paraId="1F5D9655" w14:textId="77777777" w:rsidR="00F55531" w:rsidRDefault="00F55531" w:rsidP="00F55531">
      <w:pPr>
        <w:spacing w:line="240" w:lineRule="auto"/>
        <w:jc w:val="both"/>
        <w:rPr>
          <w:rFonts w:eastAsia="Times New Roman" w:cstheme="minorHAnsi"/>
          <w:color w:val="000000"/>
          <w:lang w:eastAsia="es-CO"/>
        </w:rPr>
      </w:pPr>
    </w:p>
    <w:p w14:paraId="60C2D618" w14:textId="77777777" w:rsidR="00F55531" w:rsidRDefault="00F55531" w:rsidP="00F55531">
      <w:pPr>
        <w:spacing w:line="240" w:lineRule="auto"/>
        <w:jc w:val="both"/>
        <w:rPr>
          <w:rFonts w:eastAsia="Times New Roman" w:cstheme="minorHAnsi"/>
          <w:color w:val="000000"/>
          <w:lang w:eastAsia="es-CO"/>
        </w:rPr>
      </w:pPr>
    </w:p>
    <w:p w14:paraId="5D897DE7" w14:textId="77777777" w:rsidR="00F55531" w:rsidRDefault="00F55531" w:rsidP="00F55531">
      <w:pPr>
        <w:spacing w:line="240" w:lineRule="auto"/>
        <w:jc w:val="both"/>
        <w:rPr>
          <w:rFonts w:eastAsia="Times New Roman" w:cstheme="minorHAnsi"/>
          <w:color w:val="000000"/>
          <w:lang w:eastAsia="es-CO"/>
        </w:rPr>
      </w:pPr>
    </w:p>
    <w:p w14:paraId="487B2620" w14:textId="2AB47BC8" w:rsidR="009904D8" w:rsidRDefault="009904D8" w:rsidP="00F55531">
      <w:pPr>
        <w:spacing w:line="240" w:lineRule="auto"/>
        <w:jc w:val="both"/>
        <w:rPr>
          <w:rFonts w:eastAsia="Times New Roman" w:cstheme="minorHAnsi"/>
          <w:color w:val="000000"/>
          <w:lang w:eastAsia="es-CO"/>
        </w:rPr>
      </w:pPr>
      <w:r w:rsidRPr="009904D8">
        <w:rPr>
          <w:rFonts w:eastAsia="Times New Roman" w:cstheme="minorHAnsi"/>
          <w:color w:val="000000"/>
          <w:lang w:eastAsia="es-CO"/>
        </w:rPr>
        <w:t>bajo la perspectiva de hacer de los establecimientos educativos entornos protectores para la población escolar en ellos atendida</w:t>
      </w:r>
      <w:r w:rsidR="00F55531">
        <w:rPr>
          <w:rFonts w:eastAsia="Times New Roman" w:cstheme="minorHAnsi"/>
          <w:color w:val="000000"/>
          <w:lang w:eastAsia="es-CO"/>
        </w:rPr>
        <w:t xml:space="preserve"> y 4. </w:t>
      </w:r>
      <w:r w:rsidRPr="009904D8">
        <w:rPr>
          <w:rFonts w:eastAsia="Times New Roman" w:cstheme="minorHAnsi"/>
          <w:color w:val="000000"/>
          <w:lang w:eastAsia="es-CO"/>
        </w:rPr>
        <w:t>Verificar la aprobación y divulgación del manual de convivencia escolar</w:t>
      </w:r>
      <w:r w:rsidR="00F55531">
        <w:rPr>
          <w:rFonts w:eastAsia="Times New Roman" w:cstheme="minorHAnsi"/>
          <w:color w:val="000000"/>
          <w:lang w:eastAsia="es-CO"/>
        </w:rPr>
        <w:t xml:space="preserve">, son acciones que merecen el cuidado y la atención, por la ocurrencia de eventualidades que han acompañado el retorno de los estudiantes a las aulas y la necesidad de desarrollar acciones formadoras en educación socioemocional y el acompañamiento efectivo de docentes orientadores, para recuperar normalidad institucional. </w:t>
      </w:r>
    </w:p>
    <w:p w14:paraId="68FD791A" w14:textId="5F1BC54B" w:rsidR="00F55531" w:rsidRDefault="00F55531" w:rsidP="00F55531">
      <w:pPr>
        <w:spacing w:line="240" w:lineRule="auto"/>
        <w:jc w:val="both"/>
        <w:rPr>
          <w:rFonts w:eastAsia="Times New Roman" w:cstheme="minorHAnsi"/>
          <w:color w:val="000000"/>
          <w:lang w:eastAsia="es-CO"/>
        </w:rPr>
      </w:pPr>
    </w:p>
    <w:p w14:paraId="476CA8D6" w14:textId="77777777" w:rsidR="00F55531" w:rsidRPr="009904D8" w:rsidRDefault="00F55531" w:rsidP="00F55531">
      <w:pPr>
        <w:spacing w:line="240" w:lineRule="auto"/>
        <w:jc w:val="both"/>
        <w:rPr>
          <w:rFonts w:eastAsia="Times New Roman" w:cstheme="minorHAnsi"/>
          <w:color w:val="000000"/>
          <w:lang w:eastAsia="es-CO"/>
        </w:rPr>
      </w:pPr>
    </w:p>
    <w:p w14:paraId="6FB6F7DC" w14:textId="7873C5D1" w:rsidR="00DF538C" w:rsidRPr="00FD270A" w:rsidRDefault="00DF538C" w:rsidP="00DF538C">
      <w:pPr>
        <w:spacing w:line="240" w:lineRule="auto"/>
        <w:jc w:val="center"/>
        <w:rPr>
          <w:b/>
          <w:bCs/>
          <w:noProof/>
          <w:color w:val="auto"/>
          <w:sz w:val="24"/>
          <w:szCs w:val="24"/>
        </w:rPr>
      </w:pPr>
      <w:r w:rsidRPr="00FD270A">
        <w:rPr>
          <w:b/>
          <w:bCs/>
          <w:noProof/>
          <w:color w:val="auto"/>
          <w:sz w:val="24"/>
          <w:szCs w:val="24"/>
        </w:rPr>
        <w:t xml:space="preserve">Tabla </w:t>
      </w:r>
      <w:r>
        <w:rPr>
          <w:b/>
          <w:bCs/>
          <w:noProof/>
          <w:color w:val="auto"/>
          <w:sz w:val="24"/>
          <w:szCs w:val="24"/>
        </w:rPr>
        <w:t>2</w:t>
      </w:r>
      <w:r w:rsidRPr="00FD270A">
        <w:rPr>
          <w:b/>
          <w:bCs/>
          <w:noProof/>
          <w:color w:val="auto"/>
          <w:sz w:val="24"/>
          <w:szCs w:val="24"/>
        </w:rPr>
        <w:t xml:space="preserve">. Avances </w:t>
      </w:r>
      <w:r>
        <w:rPr>
          <w:b/>
          <w:bCs/>
          <w:noProof/>
          <w:color w:val="auto"/>
          <w:sz w:val="24"/>
          <w:szCs w:val="24"/>
        </w:rPr>
        <w:t xml:space="preserve">en la atención por establecimientos </w:t>
      </w:r>
      <w:r w:rsidRPr="00FD270A">
        <w:rPr>
          <w:b/>
          <w:bCs/>
          <w:noProof/>
          <w:color w:val="auto"/>
          <w:sz w:val="24"/>
          <w:szCs w:val="24"/>
        </w:rPr>
        <w:t xml:space="preserve">en el primer semestre del año 2022, en el </w:t>
      </w:r>
      <w:r>
        <w:rPr>
          <w:b/>
          <w:bCs/>
          <w:noProof/>
          <w:color w:val="auto"/>
          <w:sz w:val="24"/>
          <w:szCs w:val="24"/>
        </w:rPr>
        <w:t xml:space="preserve">POAIV del </w:t>
      </w:r>
      <w:r w:rsidRPr="00FD270A">
        <w:rPr>
          <w:b/>
          <w:bCs/>
          <w:noProof/>
          <w:color w:val="auto"/>
          <w:sz w:val="24"/>
          <w:szCs w:val="24"/>
        </w:rPr>
        <w:t>departamento del Tolima.</w:t>
      </w:r>
    </w:p>
    <w:p w14:paraId="4211C5F0" w14:textId="77777777" w:rsidR="009904D8" w:rsidRDefault="009904D8" w:rsidP="00F55531">
      <w:pPr>
        <w:spacing w:line="240" w:lineRule="auto"/>
        <w:jc w:val="both"/>
        <w:rPr>
          <w:rFonts w:eastAsia="Times New Roman" w:cstheme="minorHAnsi"/>
          <w:color w:val="000000"/>
          <w:lang w:eastAsia="es-CO"/>
        </w:rPr>
      </w:pPr>
    </w:p>
    <w:p w14:paraId="01CE41B9" w14:textId="063889F9" w:rsidR="00AF5BC0" w:rsidRPr="009904D8" w:rsidRDefault="009904D8" w:rsidP="009904D8">
      <w:pPr>
        <w:spacing w:line="240" w:lineRule="auto"/>
        <w:jc w:val="both"/>
        <w:rPr>
          <w:rFonts w:cstheme="minorHAnsi"/>
          <w:color w:val="auto"/>
          <w:szCs w:val="28"/>
        </w:rPr>
      </w:pPr>
      <w:r>
        <w:rPr>
          <w:rFonts w:eastAsia="Times New Roman" w:cstheme="minorHAnsi"/>
          <w:color w:val="000000"/>
          <w:lang w:eastAsia="es-CO"/>
        </w:rPr>
        <w:t xml:space="preserve"> </w:t>
      </w:r>
    </w:p>
    <w:tbl>
      <w:tblPr>
        <w:tblW w:w="7573" w:type="dxa"/>
        <w:jc w:val="center"/>
        <w:tblCellMar>
          <w:left w:w="70" w:type="dxa"/>
          <w:right w:w="70" w:type="dxa"/>
        </w:tblCellMar>
        <w:tblLook w:val="04A0" w:firstRow="1" w:lastRow="0" w:firstColumn="1" w:lastColumn="0" w:noHBand="0" w:noVBand="1"/>
      </w:tblPr>
      <w:tblGrid>
        <w:gridCol w:w="2292"/>
        <w:gridCol w:w="2466"/>
        <w:gridCol w:w="2815"/>
      </w:tblGrid>
      <w:tr w:rsidR="00DF538C" w:rsidRPr="00DF538C" w14:paraId="1F87954A" w14:textId="77777777" w:rsidTr="00DF538C">
        <w:trPr>
          <w:trHeight w:val="415"/>
          <w:jc w:val="center"/>
        </w:trPr>
        <w:tc>
          <w:tcPr>
            <w:tcW w:w="2292" w:type="dxa"/>
            <w:tcBorders>
              <w:top w:val="single" w:sz="8" w:space="0" w:color="auto"/>
              <w:left w:val="single" w:sz="8" w:space="0" w:color="auto"/>
              <w:bottom w:val="single" w:sz="8" w:space="0" w:color="auto"/>
              <w:right w:val="single" w:sz="8" w:space="0" w:color="auto"/>
            </w:tcBorders>
            <w:shd w:val="clear" w:color="5B9BD5" w:fill="5B9BD5"/>
            <w:noWrap/>
            <w:vAlign w:val="bottom"/>
            <w:hideMark/>
          </w:tcPr>
          <w:p w14:paraId="02C8C09B" w14:textId="77777777" w:rsidR="00DF538C" w:rsidRPr="00DF538C" w:rsidRDefault="00DF538C" w:rsidP="00DF538C">
            <w:pPr>
              <w:spacing w:line="240" w:lineRule="auto"/>
              <w:jc w:val="center"/>
              <w:rPr>
                <w:rFonts w:ascii="Calibri" w:eastAsia="Times New Roman" w:hAnsi="Calibri" w:cs="Calibri"/>
                <w:b/>
                <w:bCs/>
                <w:color w:val="FFFFFF"/>
                <w:szCs w:val="28"/>
                <w:lang w:val="es-CO" w:eastAsia="es-CO"/>
              </w:rPr>
            </w:pPr>
            <w:r w:rsidRPr="00DF538C">
              <w:rPr>
                <w:rFonts w:ascii="Calibri" w:eastAsia="Times New Roman" w:hAnsi="Calibri" w:cs="Calibri"/>
                <w:b/>
                <w:bCs/>
                <w:color w:val="FFFFFF"/>
                <w:szCs w:val="28"/>
                <w:lang w:val="es-CO" w:eastAsia="es-CO"/>
              </w:rPr>
              <w:t>TIPO EE.</w:t>
            </w:r>
          </w:p>
        </w:tc>
        <w:tc>
          <w:tcPr>
            <w:tcW w:w="2466" w:type="dxa"/>
            <w:tcBorders>
              <w:top w:val="single" w:sz="8" w:space="0" w:color="auto"/>
              <w:left w:val="single" w:sz="8" w:space="0" w:color="auto"/>
              <w:bottom w:val="single" w:sz="8" w:space="0" w:color="auto"/>
              <w:right w:val="single" w:sz="8" w:space="0" w:color="auto"/>
            </w:tcBorders>
            <w:shd w:val="clear" w:color="5B9BD5" w:fill="5B9BD5"/>
            <w:noWrap/>
            <w:vAlign w:val="bottom"/>
            <w:hideMark/>
          </w:tcPr>
          <w:p w14:paraId="6A91AF6E" w14:textId="77777777" w:rsidR="00DF538C" w:rsidRPr="00DF538C" w:rsidRDefault="00DF538C" w:rsidP="00DF538C">
            <w:pPr>
              <w:spacing w:line="240" w:lineRule="auto"/>
              <w:jc w:val="center"/>
              <w:rPr>
                <w:rFonts w:ascii="Calibri" w:eastAsia="Times New Roman" w:hAnsi="Calibri" w:cs="Calibri"/>
                <w:b/>
                <w:bCs/>
                <w:color w:val="FFFFFF"/>
                <w:szCs w:val="28"/>
                <w:lang w:val="es-CO" w:eastAsia="es-CO"/>
              </w:rPr>
            </w:pPr>
            <w:r w:rsidRPr="00DF538C">
              <w:rPr>
                <w:rFonts w:ascii="Calibri" w:eastAsia="Times New Roman" w:hAnsi="Calibri" w:cs="Calibri"/>
                <w:b/>
                <w:bCs/>
                <w:color w:val="FFFFFF"/>
                <w:szCs w:val="28"/>
                <w:lang w:val="es-CO" w:eastAsia="es-CO"/>
              </w:rPr>
              <w:t>NÚMERO EE</w:t>
            </w:r>
          </w:p>
        </w:tc>
        <w:tc>
          <w:tcPr>
            <w:tcW w:w="2815" w:type="dxa"/>
            <w:tcBorders>
              <w:top w:val="single" w:sz="8" w:space="0" w:color="auto"/>
              <w:left w:val="single" w:sz="8" w:space="0" w:color="auto"/>
              <w:bottom w:val="single" w:sz="8" w:space="0" w:color="auto"/>
              <w:right w:val="single" w:sz="8" w:space="0" w:color="auto"/>
            </w:tcBorders>
            <w:shd w:val="clear" w:color="5B9BD5" w:fill="5B9BD5"/>
            <w:noWrap/>
            <w:vAlign w:val="bottom"/>
            <w:hideMark/>
          </w:tcPr>
          <w:p w14:paraId="720406D9" w14:textId="77777777" w:rsidR="00DF538C" w:rsidRPr="00DF538C" w:rsidRDefault="00DF538C" w:rsidP="00DF538C">
            <w:pPr>
              <w:spacing w:line="240" w:lineRule="auto"/>
              <w:jc w:val="center"/>
              <w:rPr>
                <w:rFonts w:ascii="Calibri" w:eastAsia="Times New Roman" w:hAnsi="Calibri" w:cs="Calibri"/>
                <w:b/>
                <w:bCs/>
                <w:color w:val="FFFFFF"/>
                <w:szCs w:val="28"/>
                <w:lang w:val="es-CO" w:eastAsia="es-CO"/>
              </w:rPr>
            </w:pPr>
            <w:r w:rsidRPr="00DF538C">
              <w:rPr>
                <w:rFonts w:ascii="Calibri" w:eastAsia="Times New Roman" w:hAnsi="Calibri" w:cs="Calibri"/>
                <w:b/>
                <w:bCs/>
                <w:color w:val="FFFFFF"/>
                <w:szCs w:val="28"/>
                <w:lang w:val="es-CO" w:eastAsia="es-CO"/>
              </w:rPr>
              <w:t>PORCENTAJE</w:t>
            </w:r>
          </w:p>
        </w:tc>
      </w:tr>
      <w:tr w:rsidR="00DF538C" w:rsidRPr="00DF538C" w14:paraId="73F0BAF5" w14:textId="77777777" w:rsidTr="00DF538C">
        <w:trPr>
          <w:trHeight w:val="402"/>
          <w:jc w:val="center"/>
        </w:trPr>
        <w:tc>
          <w:tcPr>
            <w:tcW w:w="2292" w:type="dxa"/>
            <w:tcBorders>
              <w:top w:val="single" w:sz="4" w:space="0" w:color="FFFFFF"/>
              <w:left w:val="single" w:sz="8" w:space="0" w:color="auto"/>
              <w:bottom w:val="single" w:sz="4" w:space="0" w:color="auto"/>
              <w:right w:val="single" w:sz="8" w:space="0" w:color="auto"/>
            </w:tcBorders>
            <w:shd w:val="clear" w:color="BDD7EE" w:fill="BDD7EE"/>
            <w:noWrap/>
            <w:vAlign w:val="bottom"/>
            <w:hideMark/>
          </w:tcPr>
          <w:p w14:paraId="2F77056F" w14:textId="77777777" w:rsidR="00DF538C" w:rsidRPr="00DF538C" w:rsidRDefault="00DF538C" w:rsidP="00DF538C">
            <w:pPr>
              <w:spacing w:line="240" w:lineRule="auto"/>
              <w:rPr>
                <w:rFonts w:ascii="Calibri" w:eastAsia="Times New Roman" w:hAnsi="Calibri" w:cs="Calibri"/>
                <w:color w:val="000000"/>
                <w:szCs w:val="28"/>
                <w:lang w:val="es-CO" w:eastAsia="es-CO"/>
              </w:rPr>
            </w:pPr>
            <w:r w:rsidRPr="00DF538C">
              <w:rPr>
                <w:rFonts w:ascii="Calibri" w:eastAsia="Times New Roman" w:hAnsi="Calibri" w:cs="Calibri"/>
                <w:color w:val="000000"/>
                <w:szCs w:val="28"/>
                <w:lang w:val="es-CO" w:eastAsia="es-CO"/>
              </w:rPr>
              <w:t>OFICIAL</w:t>
            </w:r>
          </w:p>
        </w:tc>
        <w:tc>
          <w:tcPr>
            <w:tcW w:w="2466" w:type="dxa"/>
            <w:tcBorders>
              <w:top w:val="single" w:sz="4" w:space="0" w:color="FFFFFF"/>
              <w:left w:val="single" w:sz="8" w:space="0" w:color="auto"/>
              <w:bottom w:val="single" w:sz="4" w:space="0" w:color="auto"/>
              <w:right w:val="single" w:sz="8" w:space="0" w:color="auto"/>
            </w:tcBorders>
            <w:shd w:val="clear" w:color="BDD7EE" w:fill="BDD7EE"/>
            <w:noWrap/>
            <w:vAlign w:val="bottom"/>
            <w:hideMark/>
          </w:tcPr>
          <w:p w14:paraId="04184D18" w14:textId="77777777" w:rsidR="00DF538C" w:rsidRPr="00DF538C" w:rsidRDefault="00DF538C" w:rsidP="00DF538C">
            <w:pPr>
              <w:spacing w:line="240" w:lineRule="auto"/>
              <w:jc w:val="center"/>
              <w:rPr>
                <w:rFonts w:ascii="Calibri" w:eastAsia="Times New Roman" w:hAnsi="Calibri" w:cs="Calibri"/>
                <w:color w:val="000000"/>
                <w:szCs w:val="28"/>
                <w:lang w:val="es-CO" w:eastAsia="es-CO"/>
              </w:rPr>
            </w:pPr>
            <w:r w:rsidRPr="00DF538C">
              <w:rPr>
                <w:rFonts w:ascii="Calibri" w:eastAsia="Times New Roman" w:hAnsi="Calibri" w:cs="Calibri"/>
                <w:color w:val="000000"/>
                <w:szCs w:val="28"/>
                <w:lang w:val="es-CO" w:eastAsia="es-CO"/>
              </w:rPr>
              <w:t>2293</w:t>
            </w:r>
          </w:p>
        </w:tc>
        <w:tc>
          <w:tcPr>
            <w:tcW w:w="2815" w:type="dxa"/>
            <w:tcBorders>
              <w:top w:val="single" w:sz="4" w:space="0" w:color="FFFFFF"/>
              <w:left w:val="single" w:sz="8" w:space="0" w:color="auto"/>
              <w:bottom w:val="single" w:sz="4" w:space="0" w:color="auto"/>
              <w:right w:val="single" w:sz="8" w:space="0" w:color="auto"/>
            </w:tcBorders>
            <w:shd w:val="clear" w:color="BDD7EE" w:fill="BDD7EE"/>
            <w:noWrap/>
            <w:vAlign w:val="bottom"/>
            <w:hideMark/>
          </w:tcPr>
          <w:p w14:paraId="3352360F" w14:textId="77777777" w:rsidR="00DF538C" w:rsidRPr="00DF538C" w:rsidRDefault="00DF538C" w:rsidP="00DF538C">
            <w:pPr>
              <w:spacing w:line="240" w:lineRule="auto"/>
              <w:jc w:val="center"/>
              <w:rPr>
                <w:rFonts w:ascii="Calibri" w:eastAsia="Times New Roman" w:hAnsi="Calibri" w:cs="Calibri"/>
                <w:color w:val="000000"/>
                <w:szCs w:val="28"/>
                <w:lang w:val="es-CO" w:eastAsia="es-CO"/>
              </w:rPr>
            </w:pPr>
            <w:r w:rsidRPr="00DF538C">
              <w:rPr>
                <w:rFonts w:ascii="Calibri" w:eastAsia="Times New Roman" w:hAnsi="Calibri" w:cs="Calibri"/>
                <w:color w:val="000000"/>
                <w:szCs w:val="28"/>
                <w:lang w:val="es-CO" w:eastAsia="es-CO"/>
              </w:rPr>
              <w:t>78,23</w:t>
            </w:r>
          </w:p>
        </w:tc>
      </w:tr>
      <w:tr w:rsidR="00DF538C" w:rsidRPr="00DF538C" w14:paraId="52EB3AF4" w14:textId="77777777" w:rsidTr="00DF538C">
        <w:trPr>
          <w:trHeight w:val="402"/>
          <w:jc w:val="center"/>
        </w:trPr>
        <w:tc>
          <w:tcPr>
            <w:tcW w:w="2292" w:type="dxa"/>
            <w:tcBorders>
              <w:top w:val="single" w:sz="4" w:space="0" w:color="auto"/>
              <w:left w:val="single" w:sz="8" w:space="0" w:color="auto"/>
              <w:bottom w:val="single" w:sz="4" w:space="0" w:color="auto"/>
              <w:right w:val="single" w:sz="8" w:space="0" w:color="auto"/>
            </w:tcBorders>
            <w:shd w:val="clear" w:color="DDEBF7" w:fill="DDEBF7"/>
            <w:noWrap/>
            <w:vAlign w:val="bottom"/>
            <w:hideMark/>
          </w:tcPr>
          <w:p w14:paraId="75413D37" w14:textId="77777777" w:rsidR="00DF538C" w:rsidRPr="00DF538C" w:rsidRDefault="00DF538C" w:rsidP="00DF538C">
            <w:pPr>
              <w:spacing w:line="240" w:lineRule="auto"/>
              <w:rPr>
                <w:rFonts w:ascii="Calibri" w:eastAsia="Times New Roman" w:hAnsi="Calibri" w:cs="Calibri"/>
                <w:color w:val="000000"/>
                <w:szCs w:val="28"/>
                <w:lang w:val="es-CO" w:eastAsia="es-CO"/>
              </w:rPr>
            </w:pPr>
            <w:r w:rsidRPr="00DF538C">
              <w:rPr>
                <w:rFonts w:ascii="Calibri" w:eastAsia="Times New Roman" w:hAnsi="Calibri" w:cs="Calibri"/>
                <w:color w:val="000000"/>
                <w:szCs w:val="28"/>
                <w:lang w:val="es-CO" w:eastAsia="es-CO"/>
              </w:rPr>
              <w:t>NO OFICIAL</w:t>
            </w:r>
          </w:p>
        </w:tc>
        <w:tc>
          <w:tcPr>
            <w:tcW w:w="2466" w:type="dxa"/>
            <w:tcBorders>
              <w:top w:val="single" w:sz="4" w:space="0" w:color="auto"/>
              <w:left w:val="single" w:sz="8" w:space="0" w:color="auto"/>
              <w:bottom w:val="single" w:sz="4" w:space="0" w:color="auto"/>
              <w:right w:val="single" w:sz="8" w:space="0" w:color="auto"/>
            </w:tcBorders>
            <w:shd w:val="clear" w:color="DDEBF7" w:fill="DDEBF7"/>
            <w:noWrap/>
            <w:vAlign w:val="bottom"/>
            <w:hideMark/>
          </w:tcPr>
          <w:p w14:paraId="62D65CB1" w14:textId="77777777" w:rsidR="00DF538C" w:rsidRPr="00DF538C" w:rsidRDefault="00DF538C" w:rsidP="00DF538C">
            <w:pPr>
              <w:spacing w:line="240" w:lineRule="auto"/>
              <w:jc w:val="center"/>
              <w:rPr>
                <w:rFonts w:ascii="Calibri" w:eastAsia="Times New Roman" w:hAnsi="Calibri" w:cs="Calibri"/>
                <w:color w:val="000000"/>
                <w:szCs w:val="28"/>
                <w:lang w:val="es-CO" w:eastAsia="es-CO"/>
              </w:rPr>
            </w:pPr>
            <w:r w:rsidRPr="00DF538C">
              <w:rPr>
                <w:rFonts w:ascii="Calibri" w:eastAsia="Times New Roman" w:hAnsi="Calibri" w:cs="Calibri"/>
                <w:color w:val="000000"/>
                <w:szCs w:val="28"/>
                <w:lang w:val="es-CO" w:eastAsia="es-CO"/>
              </w:rPr>
              <w:t>563</w:t>
            </w:r>
          </w:p>
        </w:tc>
        <w:tc>
          <w:tcPr>
            <w:tcW w:w="2815" w:type="dxa"/>
            <w:tcBorders>
              <w:top w:val="single" w:sz="4" w:space="0" w:color="auto"/>
              <w:left w:val="single" w:sz="8" w:space="0" w:color="auto"/>
              <w:bottom w:val="single" w:sz="4" w:space="0" w:color="auto"/>
              <w:right w:val="single" w:sz="8" w:space="0" w:color="auto"/>
            </w:tcBorders>
            <w:shd w:val="clear" w:color="DDEBF7" w:fill="DDEBF7"/>
            <w:noWrap/>
            <w:vAlign w:val="bottom"/>
            <w:hideMark/>
          </w:tcPr>
          <w:p w14:paraId="54AED9ED" w14:textId="77777777" w:rsidR="00DF538C" w:rsidRPr="00DF538C" w:rsidRDefault="00DF538C" w:rsidP="00DF538C">
            <w:pPr>
              <w:spacing w:line="240" w:lineRule="auto"/>
              <w:jc w:val="center"/>
              <w:rPr>
                <w:rFonts w:ascii="Calibri" w:eastAsia="Times New Roman" w:hAnsi="Calibri" w:cs="Calibri"/>
                <w:color w:val="000000"/>
                <w:szCs w:val="28"/>
                <w:lang w:val="es-CO" w:eastAsia="es-CO"/>
              </w:rPr>
            </w:pPr>
            <w:r w:rsidRPr="00DF538C">
              <w:rPr>
                <w:rFonts w:ascii="Calibri" w:eastAsia="Times New Roman" w:hAnsi="Calibri" w:cs="Calibri"/>
                <w:color w:val="000000"/>
                <w:szCs w:val="28"/>
                <w:lang w:val="es-CO" w:eastAsia="es-CO"/>
              </w:rPr>
              <w:t>19,21</w:t>
            </w:r>
          </w:p>
        </w:tc>
      </w:tr>
      <w:tr w:rsidR="00DF538C" w:rsidRPr="00DF538C" w14:paraId="0F11791F" w14:textId="77777777" w:rsidTr="00DF538C">
        <w:trPr>
          <w:trHeight w:val="402"/>
          <w:jc w:val="center"/>
        </w:trPr>
        <w:tc>
          <w:tcPr>
            <w:tcW w:w="2292" w:type="dxa"/>
            <w:tcBorders>
              <w:top w:val="single" w:sz="4" w:space="0" w:color="auto"/>
              <w:left w:val="single" w:sz="8" w:space="0" w:color="auto"/>
              <w:bottom w:val="single" w:sz="4" w:space="0" w:color="auto"/>
              <w:right w:val="single" w:sz="8" w:space="0" w:color="auto"/>
            </w:tcBorders>
            <w:shd w:val="clear" w:color="BDD7EE" w:fill="BDD7EE"/>
            <w:noWrap/>
            <w:vAlign w:val="bottom"/>
            <w:hideMark/>
          </w:tcPr>
          <w:p w14:paraId="25418506" w14:textId="77777777" w:rsidR="00DF538C" w:rsidRPr="00DF538C" w:rsidRDefault="00DF538C" w:rsidP="00DF538C">
            <w:pPr>
              <w:spacing w:line="240" w:lineRule="auto"/>
              <w:rPr>
                <w:rFonts w:ascii="Calibri" w:eastAsia="Times New Roman" w:hAnsi="Calibri" w:cs="Calibri"/>
                <w:color w:val="000000"/>
                <w:szCs w:val="28"/>
                <w:lang w:val="es-CO" w:eastAsia="es-CO"/>
              </w:rPr>
            </w:pPr>
            <w:r w:rsidRPr="00DF538C">
              <w:rPr>
                <w:rFonts w:ascii="Calibri" w:eastAsia="Times New Roman" w:hAnsi="Calibri" w:cs="Calibri"/>
                <w:color w:val="000000"/>
                <w:szCs w:val="28"/>
                <w:lang w:val="es-CO" w:eastAsia="es-CO"/>
              </w:rPr>
              <w:t>ETDH</w:t>
            </w:r>
          </w:p>
        </w:tc>
        <w:tc>
          <w:tcPr>
            <w:tcW w:w="2466" w:type="dxa"/>
            <w:tcBorders>
              <w:top w:val="single" w:sz="4" w:space="0" w:color="auto"/>
              <w:left w:val="single" w:sz="8" w:space="0" w:color="auto"/>
              <w:bottom w:val="single" w:sz="4" w:space="0" w:color="auto"/>
              <w:right w:val="single" w:sz="8" w:space="0" w:color="auto"/>
            </w:tcBorders>
            <w:shd w:val="clear" w:color="BDD7EE" w:fill="BDD7EE"/>
            <w:noWrap/>
            <w:vAlign w:val="bottom"/>
            <w:hideMark/>
          </w:tcPr>
          <w:p w14:paraId="5D98FD9C" w14:textId="77777777" w:rsidR="00DF538C" w:rsidRPr="00DF538C" w:rsidRDefault="00DF538C" w:rsidP="00DF538C">
            <w:pPr>
              <w:spacing w:line="240" w:lineRule="auto"/>
              <w:jc w:val="center"/>
              <w:rPr>
                <w:rFonts w:ascii="Calibri" w:eastAsia="Times New Roman" w:hAnsi="Calibri" w:cs="Calibri"/>
                <w:color w:val="000000"/>
                <w:szCs w:val="28"/>
                <w:lang w:val="es-CO" w:eastAsia="es-CO"/>
              </w:rPr>
            </w:pPr>
            <w:r w:rsidRPr="00DF538C">
              <w:rPr>
                <w:rFonts w:ascii="Calibri" w:eastAsia="Times New Roman" w:hAnsi="Calibri" w:cs="Calibri"/>
                <w:color w:val="000000"/>
                <w:szCs w:val="28"/>
                <w:lang w:val="es-CO" w:eastAsia="es-CO"/>
              </w:rPr>
              <w:t>53</w:t>
            </w:r>
          </w:p>
        </w:tc>
        <w:tc>
          <w:tcPr>
            <w:tcW w:w="2815" w:type="dxa"/>
            <w:tcBorders>
              <w:top w:val="single" w:sz="4" w:space="0" w:color="auto"/>
              <w:left w:val="single" w:sz="8" w:space="0" w:color="auto"/>
              <w:bottom w:val="single" w:sz="4" w:space="0" w:color="auto"/>
              <w:right w:val="single" w:sz="8" w:space="0" w:color="auto"/>
            </w:tcBorders>
            <w:shd w:val="clear" w:color="BDD7EE" w:fill="BDD7EE"/>
            <w:noWrap/>
            <w:vAlign w:val="bottom"/>
            <w:hideMark/>
          </w:tcPr>
          <w:p w14:paraId="51463FFC" w14:textId="77777777" w:rsidR="00DF538C" w:rsidRPr="00DF538C" w:rsidRDefault="00DF538C" w:rsidP="00DF538C">
            <w:pPr>
              <w:spacing w:line="240" w:lineRule="auto"/>
              <w:jc w:val="center"/>
              <w:rPr>
                <w:rFonts w:ascii="Calibri" w:eastAsia="Times New Roman" w:hAnsi="Calibri" w:cs="Calibri"/>
                <w:color w:val="000000"/>
                <w:szCs w:val="28"/>
                <w:lang w:val="es-CO" w:eastAsia="es-CO"/>
              </w:rPr>
            </w:pPr>
            <w:r w:rsidRPr="00DF538C">
              <w:rPr>
                <w:rFonts w:ascii="Calibri" w:eastAsia="Times New Roman" w:hAnsi="Calibri" w:cs="Calibri"/>
                <w:color w:val="000000"/>
                <w:szCs w:val="28"/>
                <w:lang w:val="es-CO" w:eastAsia="es-CO"/>
              </w:rPr>
              <w:t>1,81</w:t>
            </w:r>
          </w:p>
        </w:tc>
      </w:tr>
      <w:tr w:rsidR="00DF538C" w:rsidRPr="00DF538C" w14:paraId="7B3459BA" w14:textId="77777777" w:rsidTr="00DF538C">
        <w:trPr>
          <w:trHeight w:val="402"/>
          <w:jc w:val="center"/>
        </w:trPr>
        <w:tc>
          <w:tcPr>
            <w:tcW w:w="2292" w:type="dxa"/>
            <w:tcBorders>
              <w:top w:val="single" w:sz="4" w:space="0" w:color="auto"/>
              <w:left w:val="single" w:sz="8" w:space="0" w:color="auto"/>
              <w:bottom w:val="single" w:sz="4" w:space="0" w:color="auto"/>
              <w:right w:val="single" w:sz="8" w:space="0" w:color="auto"/>
            </w:tcBorders>
            <w:shd w:val="clear" w:color="DDEBF7" w:fill="DDEBF7"/>
            <w:noWrap/>
            <w:vAlign w:val="bottom"/>
            <w:hideMark/>
          </w:tcPr>
          <w:p w14:paraId="2C60542F" w14:textId="77777777" w:rsidR="00DF538C" w:rsidRPr="00DF538C" w:rsidRDefault="00DF538C" w:rsidP="00DF538C">
            <w:pPr>
              <w:spacing w:line="240" w:lineRule="auto"/>
              <w:rPr>
                <w:rFonts w:ascii="Calibri" w:eastAsia="Times New Roman" w:hAnsi="Calibri" w:cs="Calibri"/>
                <w:color w:val="000000"/>
                <w:szCs w:val="28"/>
                <w:lang w:val="es-CO" w:eastAsia="es-CO"/>
              </w:rPr>
            </w:pPr>
            <w:r w:rsidRPr="00DF538C">
              <w:rPr>
                <w:rFonts w:ascii="Calibri" w:eastAsia="Times New Roman" w:hAnsi="Calibri" w:cs="Calibri"/>
                <w:color w:val="000000"/>
                <w:szCs w:val="28"/>
                <w:lang w:val="es-CO" w:eastAsia="es-CO"/>
              </w:rPr>
              <w:t>ADULTOS</w:t>
            </w:r>
          </w:p>
        </w:tc>
        <w:tc>
          <w:tcPr>
            <w:tcW w:w="2466" w:type="dxa"/>
            <w:tcBorders>
              <w:top w:val="single" w:sz="4" w:space="0" w:color="auto"/>
              <w:left w:val="single" w:sz="8" w:space="0" w:color="auto"/>
              <w:bottom w:val="single" w:sz="4" w:space="0" w:color="auto"/>
              <w:right w:val="single" w:sz="8" w:space="0" w:color="auto"/>
            </w:tcBorders>
            <w:shd w:val="clear" w:color="DDEBF7" w:fill="DDEBF7"/>
            <w:noWrap/>
            <w:vAlign w:val="bottom"/>
            <w:hideMark/>
          </w:tcPr>
          <w:p w14:paraId="068A5237" w14:textId="77777777" w:rsidR="00DF538C" w:rsidRPr="00DF538C" w:rsidRDefault="00DF538C" w:rsidP="00DF538C">
            <w:pPr>
              <w:spacing w:line="240" w:lineRule="auto"/>
              <w:jc w:val="center"/>
              <w:rPr>
                <w:rFonts w:ascii="Calibri" w:eastAsia="Times New Roman" w:hAnsi="Calibri" w:cs="Calibri"/>
                <w:color w:val="000000"/>
                <w:szCs w:val="28"/>
                <w:lang w:val="es-CO" w:eastAsia="es-CO"/>
              </w:rPr>
            </w:pPr>
            <w:r w:rsidRPr="00DF538C">
              <w:rPr>
                <w:rFonts w:ascii="Calibri" w:eastAsia="Times New Roman" w:hAnsi="Calibri" w:cs="Calibri"/>
                <w:color w:val="000000"/>
                <w:szCs w:val="28"/>
                <w:lang w:val="es-CO" w:eastAsia="es-CO"/>
              </w:rPr>
              <w:t>20</w:t>
            </w:r>
          </w:p>
        </w:tc>
        <w:tc>
          <w:tcPr>
            <w:tcW w:w="2815" w:type="dxa"/>
            <w:tcBorders>
              <w:top w:val="single" w:sz="4" w:space="0" w:color="auto"/>
              <w:left w:val="single" w:sz="8" w:space="0" w:color="auto"/>
              <w:bottom w:val="single" w:sz="4" w:space="0" w:color="auto"/>
              <w:right w:val="single" w:sz="8" w:space="0" w:color="auto"/>
            </w:tcBorders>
            <w:shd w:val="clear" w:color="DDEBF7" w:fill="DDEBF7"/>
            <w:noWrap/>
            <w:vAlign w:val="bottom"/>
            <w:hideMark/>
          </w:tcPr>
          <w:p w14:paraId="0380B1DF" w14:textId="77777777" w:rsidR="00DF538C" w:rsidRPr="00DF538C" w:rsidRDefault="00DF538C" w:rsidP="00DF538C">
            <w:pPr>
              <w:spacing w:line="240" w:lineRule="auto"/>
              <w:jc w:val="center"/>
              <w:rPr>
                <w:rFonts w:ascii="Calibri" w:eastAsia="Times New Roman" w:hAnsi="Calibri" w:cs="Calibri"/>
                <w:color w:val="000000"/>
                <w:szCs w:val="28"/>
                <w:lang w:val="es-CO" w:eastAsia="es-CO"/>
              </w:rPr>
            </w:pPr>
            <w:r w:rsidRPr="00DF538C">
              <w:rPr>
                <w:rFonts w:ascii="Calibri" w:eastAsia="Times New Roman" w:hAnsi="Calibri" w:cs="Calibri"/>
                <w:color w:val="000000"/>
                <w:szCs w:val="28"/>
                <w:lang w:val="es-CO" w:eastAsia="es-CO"/>
              </w:rPr>
              <w:t>0,68</w:t>
            </w:r>
          </w:p>
        </w:tc>
      </w:tr>
      <w:tr w:rsidR="00DF538C" w:rsidRPr="00DF538C" w14:paraId="7EDE622F" w14:textId="77777777" w:rsidTr="00DF538C">
        <w:trPr>
          <w:trHeight w:val="415"/>
          <w:jc w:val="center"/>
        </w:trPr>
        <w:tc>
          <w:tcPr>
            <w:tcW w:w="2292" w:type="dxa"/>
            <w:tcBorders>
              <w:top w:val="single" w:sz="4" w:space="0" w:color="auto"/>
              <w:left w:val="single" w:sz="8" w:space="0" w:color="auto"/>
              <w:bottom w:val="single" w:sz="4" w:space="0" w:color="FFFFFF"/>
              <w:right w:val="single" w:sz="8" w:space="0" w:color="auto"/>
            </w:tcBorders>
            <w:shd w:val="clear" w:color="BDD7EE" w:fill="BDD7EE"/>
            <w:noWrap/>
            <w:vAlign w:val="bottom"/>
            <w:hideMark/>
          </w:tcPr>
          <w:p w14:paraId="22632ABC" w14:textId="43CC6466" w:rsidR="00DF538C" w:rsidRPr="00DF538C" w:rsidRDefault="00B06D33" w:rsidP="00DF538C">
            <w:pPr>
              <w:spacing w:line="240" w:lineRule="auto"/>
              <w:rPr>
                <w:rFonts w:ascii="Calibri" w:eastAsia="Times New Roman" w:hAnsi="Calibri" w:cs="Calibri"/>
                <w:color w:val="000000"/>
                <w:szCs w:val="28"/>
                <w:lang w:val="es-CO" w:eastAsia="es-CO"/>
              </w:rPr>
            </w:pPr>
            <w:r w:rsidRPr="00DF538C">
              <w:rPr>
                <w:rFonts w:ascii="Calibri" w:eastAsia="Times New Roman" w:hAnsi="Calibri" w:cs="Calibri"/>
                <w:color w:val="000000"/>
                <w:szCs w:val="28"/>
                <w:lang w:val="es-CO" w:eastAsia="es-CO"/>
              </w:rPr>
              <w:t>E. INICIAL</w:t>
            </w:r>
          </w:p>
        </w:tc>
        <w:tc>
          <w:tcPr>
            <w:tcW w:w="2466" w:type="dxa"/>
            <w:tcBorders>
              <w:top w:val="single" w:sz="4" w:space="0" w:color="auto"/>
              <w:left w:val="single" w:sz="8" w:space="0" w:color="auto"/>
              <w:bottom w:val="single" w:sz="4" w:space="0" w:color="FFFFFF"/>
              <w:right w:val="single" w:sz="8" w:space="0" w:color="auto"/>
            </w:tcBorders>
            <w:shd w:val="clear" w:color="BDD7EE" w:fill="BDD7EE"/>
            <w:noWrap/>
            <w:vAlign w:val="bottom"/>
            <w:hideMark/>
          </w:tcPr>
          <w:p w14:paraId="516B3301" w14:textId="77777777" w:rsidR="00DF538C" w:rsidRPr="00DF538C" w:rsidRDefault="00DF538C" w:rsidP="00DF538C">
            <w:pPr>
              <w:spacing w:line="240" w:lineRule="auto"/>
              <w:jc w:val="center"/>
              <w:rPr>
                <w:rFonts w:ascii="Calibri" w:eastAsia="Times New Roman" w:hAnsi="Calibri" w:cs="Calibri"/>
                <w:color w:val="000000"/>
                <w:szCs w:val="28"/>
                <w:lang w:val="es-CO" w:eastAsia="es-CO"/>
              </w:rPr>
            </w:pPr>
            <w:r w:rsidRPr="00DF538C">
              <w:rPr>
                <w:rFonts w:ascii="Calibri" w:eastAsia="Times New Roman" w:hAnsi="Calibri" w:cs="Calibri"/>
                <w:color w:val="000000"/>
                <w:szCs w:val="28"/>
                <w:lang w:val="es-CO" w:eastAsia="es-CO"/>
              </w:rPr>
              <w:t>2</w:t>
            </w:r>
          </w:p>
        </w:tc>
        <w:tc>
          <w:tcPr>
            <w:tcW w:w="2815" w:type="dxa"/>
            <w:tcBorders>
              <w:top w:val="single" w:sz="4" w:space="0" w:color="auto"/>
              <w:left w:val="single" w:sz="8" w:space="0" w:color="auto"/>
              <w:bottom w:val="single" w:sz="4" w:space="0" w:color="FFFFFF"/>
              <w:right w:val="single" w:sz="8" w:space="0" w:color="auto"/>
            </w:tcBorders>
            <w:shd w:val="clear" w:color="BDD7EE" w:fill="BDD7EE"/>
            <w:noWrap/>
            <w:vAlign w:val="bottom"/>
            <w:hideMark/>
          </w:tcPr>
          <w:p w14:paraId="18909CDC" w14:textId="77777777" w:rsidR="00DF538C" w:rsidRPr="00DF538C" w:rsidRDefault="00DF538C" w:rsidP="00DF538C">
            <w:pPr>
              <w:spacing w:line="240" w:lineRule="auto"/>
              <w:jc w:val="center"/>
              <w:rPr>
                <w:rFonts w:ascii="Calibri" w:eastAsia="Times New Roman" w:hAnsi="Calibri" w:cs="Calibri"/>
                <w:color w:val="000000"/>
                <w:szCs w:val="28"/>
                <w:lang w:val="es-CO" w:eastAsia="es-CO"/>
              </w:rPr>
            </w:pPr>
            <w:r w:rsidRPr="00DF538C">
              <w:rPr>
                <w:rFonts w:ascii="Calibri" w:eastAsia="Times New Roman" w:hAnsi="Calibri" w:cs="Calibri"/>
                <w:color w:val="000000"/>
                <w:szCs w:val="28"/>
                <w:lang w:val="es-CO" w:eastAsia="es-CO"/>
              </w:rPr>
              <w:t>0,07</w:t>
            </w:r>
          </w:p>
        </w:tc>
      </w:tr>
      <w:tr w:rsidR="00DF538C" w:rsidRPr="00DF538C" w14:paraId="6FC9ABE3" w14:textId="77777777" w:rsidTr="00DF538C">
        <w:trPr>
          <w:trHeight w:val="545"/>
          <w:jc w:val="center"/>
        </w:trPr>
        <w:tc>
          <w:tcPr>
            <w:tcW w:w="2292" w:type="dxa"/>
            <w:tcBorders>
              <w:top w:val="single" w:sz="8" w:space="0" w:color="auto"/>
              <w:left w:val="single" w:sz="8" w:space="0" w:color="auto"/>
              <w:bottom w:val="single" w:sz="8" w:space="0" w:color="auto"/>
              <w:right w:val="single" w:sz="8" w:space="0" w:color="auto"/>
            </w:tcBorders>
            <w:shd w:val="clear" w:color="DDEBF7" w:fill="DDEBF7"/>
            <w:noWrap/>
            <w:vAlign w:val="bottom"/>
            <w:hideMark/>
          </w:tcPr>
          <w:p w14:paraId="3469A31B" w14:textId="77777777" w:rsidR="00DF538C" w:rsidRPr="00DF538C" w:rsidRDefault="00DF538C" w:rsidP="00DF538C">
            <w:pPr>
              <w:spacing w:line="240" w:lineRule="auto"/>
              <w:jc w:val="center"/>
              <w:rPr>
                <w:rFonts w:ascii="Calibri" w:eastAsia="Times New Roman" w:hAnsi="Calibri" w:cs="Calibri"/>
                <w:b/>
                <w:bCs/>
                <w:color w:val="000000"/>
                <w:szCs w:val="28"/>
                <w:lang w:val="es-CO" w:eastAsia="es-CO"/>
              </w:rPr>
            </w:pPr>
            <w:r w:rsidRPr="00DF538C">
              <w:rPr>
                <w:rFonts w:ascii="Calibri" w:eastAsia="Times New Roman" w:hAnsi="Calibri" w:cs="Calibri"/>
                <w:b/>
                <w:bCs/>
                <w:color w:val="000000"/>
                <w:szCs w:val="28"/>
                <w:lang w:val="es-CO" w:eastAsia="es-CO"/>
              </w:rPr>
              <w:t>TOTAL</w:t>
            </w:r>
          </w:p>
        </w:tc>
        <w:tc>
          <w:tcPr>
            <w:tcW w:w="2466" w:type="dxa"/>
            <w:tcBorders>
              <w:top w:val="single" w:sz="8" w:space="0" w:color="auto"/>
              <w:left w:val="single" w:sz="8" w:space="0" w:color="auto"/>
              <w:bottom w:val="single" w:sz="8" w:space="0" w:color="auto"/>
              <w:right w:val="single" w:sz="8" w:space="0" w:color="auto"/>
            </w:tcBorders>
            <w:shd w:val="clear" w:color="DDEBF7" w:fill="DDEBF7"/>
            <w:noWrap/>
            <w:vAlign w:val="bottom"/>
            <w:hideMark/>
          </w:tcPr>
          <w:p w14:paraId="53A30A5D" w14:textId="77777777" w:rsidR="00DF538C" w:rsidRPr="00DF538C" w:rsidRDefault="00DF538C" w:rsidP="00DF538C">
            <w:pPr>
              <w:spacing w:line="240" w:lineRule="auto"/>
              <w:jc w:val="center"/>
              <w:rPr>
                <w:rFonts w:ascii="Calibri" w:eastAsia="Times New Roman" w:hAnsi="Calibri" w:cs="Calibri"/>
                <w:b/>
                <w:bCs/>
                <w:color w:val="000000"/>
                <w:szCs w:val="28"/>
                <w:lang w:val="es-CO" w:eastAsia="es-CO"/>
              </w:rPr>
            </w:pPr>
            <w:r w:rsidRPr="00DF538C">
              <w:rPr>
                <w:rFonts w:ascii="Calibri" w:eastAsia="Times New Roman" w:hAnsi="Calibri" w:cs="Calibri"/>
                <w:b/>
                <w:bCs/>
                <w:color w:val="000000"/>
                <w:szCs w:val="28"/>
                <w:lang w:val="es-CO" w:eastAsia="es-CO"/>
              </w:rPr>
              <w:t>2931</w:t>
            </w:r>
          </w:p>
        </w:tc>
        <w:tc>
          <w:tcPr>
            <w:tcW w:w="2815" w:type="dxa"/>
            <w:tcBorders>
              <w:top w:val="single" w:sz="8" w:space="0" w:color="auto"/>
              <w:left w:val="single" w:sz="8" w:space="0" w:color="auto"/>
              <w:bottom w:val="single" w:sz="8" w:space="0" w:color="auto"/>
              <w:right w:val="single" w:sz="8" w:space="0" w:color="auto"/>
            </w:tcBorders>
            <w:shd w:val="clear" w:color="DDEBF7" w:fill="DDEBF7"/>
            <w:noWrap/>
            <w:vAlign w:val="bottom"/>
            <w:hideMark/>
          </w:tcPr>
          <w:p w14:paraId="30D17D89" w14:textId="77777777" w:rsidR="00DF538C" w:rsidRPr="00DF538C" w:rsidRDefault="00DF538C" w:rsidP="00DF538C">
            <w:pPr>
              <w:spacing w:line="240" w:lineRule="auto"/>
              <w:jc w:val="center"/>
              <w:rPr>
                <w:rFonts w:ascii="Calibri" w:eastAsia="Times New Roman" w:hAnsi="Calibri" w:cs="Calibri"/>
                <w:b/>
                <w:bCs/>
                <w:color w:val="000000"/>
                <w:szCs w:val="28"/>
                <w:lang w:val="es-CO" w:eastAsia="es-CO"/>
              </w:rPr>
            </w:pPr>
            <w:r w:rsidRPr="00DF538C">
              <w:rPr>
                <w:rFonts w:ascii="Calibri" w:eastAsia="Times New Roman" w:hAnsi="Calibri" w:cs="Calibri"/>
                <w:b/>
                <w:bCs/>
                <w:color w:val="000000"/>
                <w:szCs w:val="28"/>
                <w:lang w:val="es-CO" w:eastAsia="es-CO"/>
              </w:rPr>
              <w:t>100,00</w:t>
            </w:r>
          </w:p>
        </w:tc>
      </w:tr>
    </w:tbl>
    <w:p w14:paraId="26B2C86F" w14:textId="33C017BA" w:rsidR="00AF5BC0" w:rsidRDefault="00AF5BC0" w:rsidP="00B371BD">
      <w:pPr>
        <w:spacing w:line="240" w:lineRule="auto"/>
        <w:jc w:val="both"/>
        <w:rPr>
          <w:color w:val="auto"/>
          <w:szCs w:val="28"/>
        </w:rPr>
      </w:pPr>
    </w:p>
    <w:p w14:paraId="59B26C37" w14:textId="1DA6BC18" w:rsidR="00DF538C" w:rsidRPr="00FD270A" w:rsidRDefault="00DF538C" w:rsidP="00DF538C">
      <w:pPr>
        <w:jc w:val="center"/>
        <w:rPr>
          <w:b/>
          <w:bCs/>
          <w:color w:val="auto"/>
          <w:sz w:val="24"/>
          <w:szCs w:val="24"/>
        </w:rPr>
      </w:pPr>
      <w:r w:rsidRPr="00FD270A">
        <w:rPr>
          <w:b/>
          <w:bCs/>
          <w:color w:val="auto"/>
          <w:sz w:val="24"/>
          <w:szCs w:val="24"/>
        </w:rPr>
        <w:t>Fuente: POAIV 2022</w:t>
      </w:r>
      <w:r>
        <w:rPr>
          <w:b/>
          <w:bCs/>
          <w:color w:val="auto"/>
          <w:sz w:val="24"/>
          <w:szCs w:val="24"/>
        </w:rPr>
        <w:t xml:space="preserve"> – Plan de Actuaciones.</w:t>
      </w:r>
    </w:p>
    <w:p w14:paraId="6B5B0665" w14:textId="2CEE4E20" w:rsidR="00AF5BC0" w:rsidRDefault="00AF5BC0" w:rsidP="00B371BD">
      <w:pPr>
        <w:spacing w:line="240" w:lineRule="auto"/>
        <w:jc w:val="both"/>
        <w:rPr>
          <w:color w:val="auto"/>
          <w:szCs w:val="28"/>
        </w:rPr>
      </w:pPr>
    </w:p>
    <w:p w14:paraId="4D37FACA" w14:textId="79B31B69" w:rsidR="00DF538C" w:rsidRDefault="00DF538C" w:rsidP="00B371BD">
      <w:pPr>
        <w:spacing w:line="240" w:lineRule="auto"/>
        <w:jc w:val="both"/>
        <w:rPr>
          <w:color w:val="auto"/>
          <w:szCs w:val="28"/>
        </w:rPr>
      </w:pPr>
    </w:p>
    <w:p w14:paraId="18377490" w14:textId="3AE390EE" w:rsidR="00FB58C3" w:rsidRDefault="007F7504" w:rsidP="00B371BD">
      <w:pPr>
        <w:spacing w:line="240" w:lineRule="auto"/>
        <w:jc w:val="both"/>
        <w:rPr>
          <w:color w:val="auto"/>
          <w:szCs w:val="28"/>
        </w:rPr>
      </w:pPr>
      <w:r>
        <w:rPr>
          <w:color w:val="auto"/>
          <w:szCs w:val="28"/>
        </w:rPr>
        <w:t xml:space="preserve">Al observar los avances del POAIV 2022 por tipo de establecimientos focalizados, la lectura es otra. El 78.23% de establecimientos focalizados corresponde al sector oficial. En este grupo </w:t>
      </w:r>
      <w:r w:rsidR="00BC2A08">
        <w:rPr>
          <w:color w:val="auto"/>
          <w:szCs w:val="28"/>
        </w:rPr>
        <w:t>s</w:t>
      </w:r>
      <w:r>
        <w:rPr>
          <w:color w:val="auto"/>
          <w:szCs w:val="28"/>
        </w:rPr>
        <w:t xml:space="preserve">e </w:t>
      </w:r>
      <w:r w:rsidR="00B742AB">
        <w:rPr>
          <w:color w:val="auto"/>
          <w:szCs w:val="28"/>
        </w:rPr>
        <w:t>incluye el 100% de</w:t>
      </w:r>
      <w:r>
        <w:rPr>
          <w:color w:val="auto"/>
          <w:szCs w:val="28"/>
        </w:rPr>
        <w:t xml:space="preserve"> los establecimientos educativos de Prescolar, básica y Media</w:t>
      </w:r>
      <w:r w:rsidR="00FB58C3">
        <w:rPr>
          <w:color w:val="auto"/>
          <w:szCs w:val="28"/>
        </w:rPr>
        <w:t xml:space="preserve"> urbanos y rurales</w:t>
      </w:r>
      <w:r>
        <w:rPr>
          <w:color w:val="auto"/>
          <w:szCs w:val="28"/>
        </w:rPr>
        <w:t xml:space="preserve"> de los 46 municipios no certificados. </w:t>
      </w:r>
    </w:p>
    <w:p w14:paraId="18AE5B93" w14:textId="73FBD8DC" w:rsidR="00FB58C3" w:rsidRDefault="00FB58C3" w:rsidP="00B371BD">
      <w:pPr>
        <w:spacing w:line="240" w:lineRule="auto"/>
        <w:jc w:val="both"/>
        <w:rPr>
          <w:color w:val="auto"/>
          <w:szCs w:val="28"/>
        </w:rPr>
      </w:pPr>
    </w:p>
    <w:p w14:paraId="2BB86FED" w14:textId="77777777" w:rsidR="00122629" w:rsidRDefault="00FB58C3" w:rsidP="00B371BD">
      <w:pPr>
        <w:spacing w:line="240" w:lineRule="auto"/>
        <w:jc w:val="both"/>
        <w:rPr>
          <w:color w:val="auto"/>
          <w:szCs w:val="28"/>
        </w:rPr>
      </w:pPr>
      <w:r>
        <w:rPr>
          <w:color w:val="auto"/>
          <w:szCs w:val="28"/>
        </w:rPr>
        <w:t xml:space="preserve">Para lo que resta del año 2022, conviene observar la cobertura en establecimientos No Oficiales, ETDH, Adultos y Educación Inicial, revisar la matriz de </w:t>
      </w:r>
      <w:r w:rsidR="00122629">
        <w:rPr>
          <w:color w:val="auto"/>
          <w:szCs w:val="28"/>
        </w:rPr>
        <w:t xml:space="preserve">programación y observar si es necesario un ajuste. </w:t>
      </w:r>
    </w:p>
    <w:p w14:paraId="771966F4" w14:textId="77777777" w:rsidR="00122629" w:rsidRDefault="00122629" w:rsidP="00B371BD">
      <w:pPr>
        <w:spacing w:line="240" w:lineRule="auto"/>
        <w:jc w:val="both"/>
        <w:rPr>
          <w:color w:val="auto"/>
          <w:szCs w:val="28"/>
        </w:rPr>
      </w:pPr>
    </w:p>
    <w:p w14:paraId="1FBB748C" w14:textId="5DAAA8C5" w:rsidR="00FB58C3" w:rsidRDefault="00FB58C3" w:rsidP="00B371BD">
      <w:pPr>
        <w:spacing w:line="240" w:lineRule="auto"/>
        <w:jc w:val="both"/>
        <w:rPr>
          <w:color w:val="auto"/>
          <w:szCs w:val="28"/>
        </w:rPr>
      </w:pPr>
      <w:r>
        <w:rPr>
          <w:color w:val="auto"/>
          <w:szCs w:val="28"/>
        </w:rPr>
        <w:t xml:space="preserve"> </w:t>
      </w:r>
    </w:p>
    <w:p w14:paraId="0F92FC52" w14:textId="77777777" w:rsidR="00FB58C3" w:rsidRDefault="00FB58C3" w:rsidP="00B371BD">
      <w:pPr>
        <w:spacing w:line="240" w:lineRule="auto"/>
        <w:jc w:val="both"/>
        <w:rPr>
          <w:color w:val="auto"/>
          <w:szCs w:val="28"/>
        </w:rPr>
      </w:pPr>
    </w:p>
    <w:p w14:paraId="672F808E" w14:textId="14282282" w:rsidR="007F7504" w:rsidRDefault="00FB58C3" w:rsidP="00B371BD">
      <w:pPr>
        <w:spacing w:line="240" w:lineRule="auto"/>
        <w:jc w:val="both"/>
        <w:rPr>
          <w:color w:val="auto"/>
          <w:szCs w:val="28"/>
        </w:rPr>
      </w:pPr>
      <w:r>
        <w:rPr>
          <w:color w:val="auto"/>
          <w:szCs w:val="28"/>
        </w:rPr>
        <w:t xml:space="preserve"> </w:t>
      </w:r>
      <w:r w:rsidR="007F7504">
        <w:rPr>
          <w:color w:val="auto"/>
          <w:szCs w:val="28"/>
        </w:rPr>
        <w:t xml:space="preserve">  </w:t>
      </w:r>
    </w:p>
    <w:p w14:paraId="5BBF1F4A" w14:textId="77777777" w:rsidR="00DF538C" w:rsidRDefault="00DF538C" w:rsidP="00B371BD">
      <w:pPr>
        <w:spacing w:line="240" w:lineRule="auto"/>
        <w:jc w:val="both"/>
        <w:rPr>
          <w:color w:val="auto"/>
          <w:szCs w:val="28"/>
        </w:rPr>
      </w:pPr>
    </w:p>
    <w:p w14:paraId="5D4567FD" w14:textId="77777777" w:rsidR="00AF5BC0" w:rsidRDefault="00AF5BC0" w:rsidP="00B371BD">
      <w:pPr>
        <w:spacing w:line="240" w:lineRule="auto"/>
        <w:jc w:val="both"/>
        <w:rPr>
          <w:color w:val="auto"/>
          <w:szCs w:val="28"/>
        </w:rPr>
      </w:pPr>
    </w:p>
    <w:p w14:paraId="69E08115" w14:textId="2F2C9B0F" w:rsidR="00FD270A" w:rsidRPr="00FD270A" w:rsidRDefault="00AF5BC0" w:rsidP="00B371BD">
      <w:pPr>
        <w:spacing w:line="240" w:lineRule="auto"/>
        <w:jc w:val="both"/>
        <w:rPr>
          <w:color w:val="auto"/>
          <w:szCs w:val="28"/>
        </w:rPr>
      </w:pPr>
      <w:r>
        <w:rPr>
          <w:color w:val="auto"/>
          <w:szCs w:val="28"/>
        </w:rPr>
        <w:t xml:space="preserve"> </w:t>
      </w:r>
      <w:r w:rsidR="00F448A6">
        <w:rPr>
          <w:color w:val="auto"/>
          <w:szCs w:val="28"/>
        </w:rPr>
        <w:t xml:space="preserve">   </w:t>
      </w:r>
      <w:r w:rsidR="00CD1DCA">
        <w:rPr>
          <w:color w:val="auto"/>
          <w:szCs w:val="28"/>
        </w:rPr>
        <w:t xml:space="preserve">   </w:t>
      </w:r>
      <w:r w:rsidR="008E3DE0">
        <w:rPr>
          <w:color w:val="auto"/>
          <w:szCs w:val="28"/>
        </w:rPr>
        <w:t xml:space="preserve">  </w:t>
      </w:r>
      <w:r w:rsidR="0017752A">
        <w:rPr>
          <w:color w:val="auto"/>
          <w:szCs w:val="28"/>
        </w:rPr>
        <w:t xml:space="preserve">   </w:t>
      </w:r>
    </w:p>
    <w:p w14:paraId="70EB8683" w14:textId="1694393E" w:rsidR="00FD270A" w:rsidRPr="00FD270A" w:rsidRDefault="00FD270A" w:rsidP="00B371BD">
      <w:pPr>
        <w:spacing w:line="240" w:lineRule="auto"/>
        <w:jc w:val="both"/>
        <w:rPr>
          <w:color w:val="auto"/>
          <w:szCs w:val="28"/>
        </w:rPr>
      </w:pPr>
    </w:p>
    <w:p w14:paraId="4F64B77F" w14:textId="09639F6B" w:rsidR="00FD270A" w:rsidRDefault="00FD270A" w:rsidP="00B371BD">
      <w:pPr>
        <w:spacing w:line="240" w:lineRule="auto"/>
        <w:jc w:val="both"/>
        <w:rPr>
          <w:color w:val="auto"/>
          <w:szCs w:val="28"/>
        </w:rPr>
      </w:pPr>
    </w:p>
    <w:p w14:paraId="4DE78664" w14:textId="461B7ED9" w:rsidR="00122629" w:rsidRDefault="00122629" w:rsidP="00B371BD">
      <w:pPr>
        <w:spacing w:line="240" w:lineRule="auto"/>
        <w:jc w:val="both"/>
        <w:rPr>
          <w:color w:val="auto"/>
          <w:szCs w:val="28"/>
        </w:rPr>
      </w:pPr>
    </w:p>
    <w:p w14:paraId="0F90B367" w14:textId="13147902" w:rsidR="00122629" w:rsidRPr="00BE242C" w:rsidRDefault="00122629" w:rsidP="00122629">
      <w:pPr>
        <w:rPr>
          <w:rFonts w:ascii="Arial Black" w:hAnsi="Arial Black"/>
          <w:b/>
          <w:color w:val="auto"/>
          <w:sz w:val="36"/>
          <w:szCs w:val="36"/>
        </w:rPr>
      </w:pPr>
      <w:r>
        <w:rPr>
          <w:rFonts w:ascii="Arial Black" w:hAnsi="Arial Black"/>
          <w:b/>
          <w:color w:val="auto"/>
          <w:sz w:val="36"/>
          <w:szCs w:val="36"/>
        </w:rPr>
        <w:t>MATRIZ DE ACTUACIONES</w:t>
      </w:r>
    </w:p>
    <w:p w14:paraId="27DE207A" w14:textId="77777777" w:rsidR="00122629" w:rsidRPr="00FD270A" w:rsidRDefault="00122629" w:rsidP="00B371BD">
      <w:pPr>
        <w:spacing w:line="240" w:lineRule="auto"/>
        <w:jc w:val="both"/>
        <w:rPr>
          <w:color w:val="auto"/>
          <w:szCs w:val="28"/>
        </w:rPr>
      </w:pPr>
    </w:p>
    <w:p w14:paraId="516F4903" w14:textId="03BABCC6" w:rsidR="006D007E" w:rsidRDefault="006D007E" w:rsidP="00B371BD">
      <w:pPr>
        <w:spacing w:line="240" w:lineRule="auto"/>
        <w:jc w:val="both"/>
        <w:rPr>
          <w:color w:val="auto"/>
          <w:szCs w:val="28"/>
        </w:rPr>
      </w:pPr>
      <w:r>
        <w:rPr>
          <w:color w:val="auto"/>
          <w:szCs w:val="28"/>
        </w:rPr>
        <w:t>Desde el año 2021, el EIV de la secretaria de educación y cultura del Tolima, con el apoyo del área de sistemas, elaboró una herramienta que le permite planear y registrar las actuaciones en tiempo real. Igualmente, al momento que se activen los controles, puede generar información parcial para hacer seguimiento al desarrollo del PO</w:t>
      </w:r>
      <w:r w:rsidR="004D4BFE">
        <w:rPr>
          <w:color w:val="auto"/>
          <w:szCs w:val="28"/>
        </w:rPr>
        <w:t>A</w:t>
      </w:r>
      <w:r>
        <w:rPr>
          <w:color w:val="auto"/>
          <w:szCs w:val="28"/>
        </w:rPr>
        <w:t xml:space="preserve">IV y realizar los ajustes necesarios. La herramienta está en la etapa de ajuste, especialmente para permitir modificaciones, en caso que ocurran errores en la digitación o acciones involuntarias de quienes la manejan. </w:t>
      </w:r>
    </w:p>
    <w:p w14:paraId="7BA605B2" w14:textId="77777777" w:rsidR="006D007E" w:rsidRDefault="006D007E" w:rsidP="00B371BD">
      <w:pPr>
        <w:spacing w:line="240" w:lineRule="auto"/>
        <w:jc w:val="both"/>
        <w:rPr>
          <w:color w:val="auto"/>
          <w:szCs w:val="28"/>
        </w:rPr>
      </w:pPr>
    </w:p>
    <w:p w14:paraId="481BB156" w14:textId="77777777" w:rsidR="004D4BFE" w:rsidRDefault="006D007E" w:rsidP="004D4BFE">
      <w:pPr>
        <w:spacing w:line="240" w:lineRule="auto"/>
        <w:jc w:val="both"/>
        <w:rPr>
          <w:color w:val="auto"/>
          <w:szCs w:val="28"/>
        </w:rPr>
      </w:pPr>
      <w:r>
        <w:rPr>
          <w:color w:val="auto"/>
          <w:szCs w:val="28"/>
        </w:rPr>
        <w:t xml:space="preserve">Adjunto al presente informe y como ANEXO principal, hacemos entrega de la matriz de actuaciones donde se encuentra el desarrollo detallado de las tablas 1 y 2 complementadas las situaciones encontradas o actuaciones realizadas, las conclusiones y compromisos adquiridos y las actividades de seguimiento y verificación que se derivan de la actuación específica en una sede educativa. </w:t>
      </w:r>
    </w:p>
    <w:p w14:paraId="6497B127" w14:textId="77777777" w:rsidR="004D4BFE" w:rsidRDefault="004D4BFE" w:rsidP="004D4BFE">
      <w:pPr>
        <w:spacing w:line="240" w:lineRule="auto"/>
        <w:jc w:val="both"/>
        <w:rPr>
          <w:color w:val="auto"/>
          <w:szCs w:val="28"/>
        </w:rPr>
      </w:pPr>
    </w:p>
    <w:p w14:paraId="698CE950" w14:textId="1E4F3602" w:rsidR="00FD270A" w:rsidRDefault="004D4BFE" w:rsidP="004D4BFE">
      <w:pPr>
        <w:spacing w:line="240" w:lineRule="auto"/>
        <w:jc w:val="both"/>
        <w:rPr>
          <w:color w:val="auto"/>
          <w:szCs w:val="28"/>
        </w:rPr>
      </w:pPr>
      <w:r>
        <w:rPr>
          <w:color w:val="auto"/>
          <w:szCs w:val="28"/>
        </w:rPr>
        <w:t xml:space="preserve">El anexo en referencia es un libro de Excel que dispone de 15 hojas. La primera para el consolidado y las otras 14 hojas, para mostrar el comportamiento de cada uno de los temas que conforman la Matriz del POAIV, con </w:t>
      </w:r>
      <w:r w:rsidRPr="004D4BFE">
        <w:rPr>
          <w:color w:val="auto"/>
          <w:szCs w:val="28"/>
        </w:rPr>
        <w:t>el</w:t>
      </w:r>
      <w:r>
        <w:rPr>
          <w:color w:val="auto"/>
          <w:szCs w:val="28"/>
        </w:rPr>
        <w:t xml:space="preserve"> </w:t>
      </w:r>
      <w:r w:rsidRPr="004D4BFE">
        <w:rPr>
          <w:color w:val="auto"/>
          <w:szCs w:val="28"/>
        </w:rPr>
        <w:t>componente de seguimient</w:t>
      </w:r>
      <w:r>
        <w:rPr>
          <w:color w:val="auto"/>
          <w:szCs w:val="28"/>
        </w:rPr>
        <w:t>o y el resumen de</w:t>
      </w:r>
      <w:r w:rsidRPr="004D4BFE">
        <w:rPr>
          <w:color w:val="auto"/>
          <w:szCs w:val="28"/>
        </w:rPr>
        <w:t xml:space="preserve"> las acciones realizadas</w:t>
      </w:r>
      <w:r>
        <w:rPr>
          <w:color w:val="auto"/>
          <w:szCs w:val="28"/>
        </w:rPr>
        <w:t xml:space="preserve"> </w:t>
      </w:r>
      <w:r w:rsidRPr="004D4BFE">
        <w:rPr>
          <w:color w:val="auto"/>
          <w:szCs w:val="28"/>
        </w:rPr>
        <w:t>durante el período identificando</w:t>
      </w:r>
      <w:r>
        <w:rPr>
          <w:color w:val="auto"/>
          <w:szCs w:val="28"/>
        </w:rPr>
        <w:t xml:space="preserve"> </w:t>
      </w:r>
      <w:r w:rsidRPr="004D4BFE">
        <w:rPr>
          <w:color w:val="auto"/>
          <w:szCs w:val="28"/>
        </w:rPr>
        <w:t>fortalezas y debilidades encontradas.</w:t>
      </w:r>
      <w:r>
        <w:rPr>
          <w:color w:val="auto"/>
          <w:szCs w:val="28"/>
        </w:rPr>
        <w:t xml:space="preserve"> </w:t>
      </w:r>
      <w:r w:rsidR="006D007E">
        <w:rPr>
          <w:color w:val="auto"/>
          <w:szCs w:val="28"/>
        </w:rPr>
        <w:t xml:space="preserve">  </w:t>
      </w:r>
    </w:p>
    <w:p w14:paraId="620BC455" w14:textId="473BC623" w:rsidR="006D007E" w:rsidRDefault="006D007E" w:rsidP="00B371BD">
      <w:pPr>
        <w:spacing w:line="240" w:lineRule="auto"/>
        <w:jc w:val="both"/>
        <w:rPr>
          <w:color w:val="auto"/>
          <w:szCs w:val="28"/>
        </w:rPr>
      </w:pPr>
    </w:p>
    <w:p w14:paraId="5B2D1816" w14:textId="6C01E8FE" w:rsidR="00BC2A08" w:rsidRDefault="00BC2A08" w:rsidP="00B371BD">
      <w:pPr>
        <w:spacing w:line="240" w:lineRule="auto"/>
        <w:jc w:val="both"/>
        <w:rPr>
          <w:color w:val="auto"/>
          <w:szCs w:val="28"/>
        </w:rPr>
      </w:pPr>
    </w:p>
    <w:p w14:paraId="205452C9" w14:textId="5DF89BE5" w:rsidR="00BC2A08" w:rsidRDefault="00BC2A08" w:rsidP="00B371BD">
      <w:pPr>
        <w:spacing w:line="240" w:lineRule="auto"/>
        <w:jc w:val="both"/>
        <w:rPr>
          <w:color w:val="auto"/>
          <w:szCs w:val="28"/>
        </w:rPr>
      </w:pPr>
    </w:p>
    <w:p w14:paraId="258186D8" w14:textId="77777777" w:rsidR="00BC2A08" w:rsidRPr="00FD270A" w:rsidRDefault="00BC2A08" w:rsidP="00B371BD">
      <w:pPr>
        <w:spacing w:line="240" w:lineRule="auto"/>
        <w:jc w:val="both"/>
        <w:rPr>
          <w:color w:val="auto"/>
          <w:szCs w:val="28"/>
        </w:rPr>
      </w:pPr>
    </w:p>
    <w:p w14:paraId="6341EBD6" w14:textId="77777777" w:rsidR="00FD270A" w:rsidRDefault="00FD270A" w:rsidP="00B371BD">
      <w:pPr>
        <w:spacing w:line="240" w:lineRule="auto"/>
        <w:jc w:val="both"/>
        <w:rPr>
          <w:color w:val="auto"/>
          <w:sz w:val="24"/>
          <w:szCs w:val="24"/>
        </w:rPr>
      </w:pPr>
    </w:p>
    <w:p w14:paraId="5729293F" w14:textId="77777777" w:rsidR="0064327C" w:rsidRDefault="0064327C" w:rsidP="00B371BD">
      <w:pPr>
        <w:spacing w:line="240" w:lineRule="auto"/>
        <w:jc w:val="both"/>
        <w:rPr>
          <w:color w:val="auto"/>
          <w:sz w:val="24"/>
          <w:szCs w:val="24"/>
        </w:rPr>
      </w:pPr>
    </w:p>
    <w:p w14:paraId="61202AA1" w14:textId="77777777" w:rsidR="0064327C" w:rsidRPr="0064327C" w:rsidRDefault="0064327C" w:rsidP="00B371BD">
      <w:pPr>
        <w:spacing w:line="240" w:lineRule="auto"/>
        <w:jc w:val="both"/>
        <w:rPr>
          <w:b/>
          <w:color w:val="auto"/>
          <w:sz w:val="24"/>
          <w:szCs w:val="24"/>
        </w:rPr>
      </w:pPr>
      <w:r w:rsidRPr="0064327C">
        <w:rPr>
          <w:b/>
          <w:color w:val="auto"/>
          <w:sz w:val="24"/>
          <w:szCs w:val="24"/>
        </w:rPr>
        <w:t>CARLOS HUMBERTO JIMENEZ MUÑOZ</w:t>
      </w:r>
    </w:p>
    <w:p w14:paraId="2A104D0A" w14:textId="77777777" w:rsidR="0064327C" w:rsidRDefault="0064327C" w:rsidP="00B371BD">
      <w:pPr>
        <w:spacing w:line="240" w:lineRule="auto"/>
        <w:jc w:val="both"/>
        <w:rPr>
          <w:color w:val="auto"/>
          <w:sz w:val="24"/>
          <w:szCs w:val="24"/>
        </w:rPr>
      </w:pPr>
      <w:r>
        <w:rPr>
          <w:color w:val="auto"/>
          <w:sz w:val="24"/>
          <w:szCs w:val="24"/>
        </w:rPr>
        <w:t xml:space="preserve">Coordinador Área de Inspección y Vigilancia </w:t>
      </w:r>
    </w:p>
    <w:sectPr w:rsidR="0064327C" w:rsidSect="0029136D">
      <w:headerReference w:type="default" r:id="rId7"/>
      <w:footerReference w:type="default" r:id="rId8"/>
      <w:footerReference w:type="first" r:id="rId9"/>
      <w:pgSz w:w="11906" w:h="16838" w:code="9"/>
      <w:pgMar w:top="720" w:right="1152" w:bottom="720" w:left="1152" w:header="0"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0EB49" w14:textId="77777777" w:rsidR="007456BF" w:rsidRDefault="007456BF" w:rsidP="004B7E44">
      <w:r>
        <w:separator/>
      </w:r>
    </w:p>
  </w:endnote>
  <w:endnote w:type="continuationSeparator" w:id="0">
    <w:p w14:paraId="70A1D3F3" w14:textId="77777777" w:rsidR="007456BF" w:rsidRDefault="007456BF" w:rsidP="004B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58"/>
    </w:tblGrid>
    <w:tr w:rsidR="004B7E44" w14:paraId="6D79E78D" w14:textId="77777777" w:rsidTr="004B7E44">
      <w:trPr>
        <w:trHeight w:val="730"/>
        <w:jc w:val="center"/>
      </w:trPr>
      <w:tc>
        <w:tcPr>
          <w:tcW w:w="12258" w:type="dxa"/>
          <w:tcBorders>
            <w:top w:val="nil"/>
            <w:left w:val="nil"/>
            <w:bottom w:val="nil"/>
            <w:right w:val="nil"/>
          </w:tcBorders>
          <w:shd w:val="clear" w:color="auto" w:fill="000000" w:themeFill="text1"/>
          <w:vAlign w:val="center"/>
        </w:tcPr>
        <w:p w14:paraId="14431B45" w14:textId="77777777" w:rsidR="004B7E44" w:rsidRDefault="004B7E44" w:rsidP="00460218">
          <w:pPr>
            <w:pStyle w:val="Piedepgina"/>
          </w:pPr>
          <w:r>
            <w:rPr>
              <w:lang w:bidi="es-ES"/>
            </w:rPr>
            <w:t>www.</w:t>
          </w:r>
          <w:r w:rsidR="00460218">
            <w:rPr>
              <w:lang w:bidi="es-ES"/>
            </w:rPr>
            <w:t>sedtolima.gov.co</w:t>
          </w:r>
          <w:r>
            <w:rPr>
              <w:lang w:bidi="es-ES"/>
            </w:rPr>
            <w:t xml:space="preserve"> </w:t>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191010"/>
      <w:docPartObj>
        <w:docPartGallery w:val="Page Numbers (Bottom of Page)"/>
        <w:docPartUnique/>
      </w:docPartObj>
    </w:sdtPr>
    <w:sdtEndPr>
      <w:rPr>
        <w:noProof/>
      </w:rPr>
    </w:sdtEndPr>
    <w:sdtContent>
      <w:p w14:paraId="534053A3" w14:textId="0795BCF3" w:rsidR="005A718F" w:rsidRDefault="005A718F" w:rsidP="004B7E44">
        <w:pPr>
          <w:pStyle w:val="Piedepgina"/>
        </w:pPr>
        <w:r>
          <w:rPr>
            <w:lang w:bidi="es-ES"/>
          </w:rPr>
          <w:fldChar w:fldCharType="begin"/>
        </w:r>
        <w:r>
          <w:rPr>
            <w:lang w:bidi="es-ES"/>
          </w:rPr>
          <w:instrText xml:space="preserve"> PAGE   \* MERGEFORMAT </w:instrText>
        </w:r>
        <w:r>
          <w:rPr>
            <w:lang w:bidi="es-ES"/>
          </w:rPr>
          <w:fldChar w:fldCharType="separate"/>
        </w:r>
        <w:r w:rsidR="00863C49">
          <w:rPr>
            <w:noProof/>
            <w:lang w:bidi="es-ES"/>
          </w:rPr>
          <w:t>1</w:t>
        </w:r>
        <w:r>
          <w:rPr>
            <w:noProof/>
            <w:lang w:bidi="es-E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A0876" w14:textId="77777777" w:rsidR="007456BF" w:rsidRDefault="007456BF" w:rsidP="004B7E44">
      <w:r>
        <w:separator/>
      </w:r>
    </w:p>
  </w:footnote>
  <w:footnote w:type="continuationSeparator" w:id="0">
    <w:p w14:paraId="1C317C03" w14:textId="77777777" w:rsidR="007456BF" w:rsidRDefault="007456BF" w:rsidP="004B7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210" w:type="dxa"/>
      <w:tblInd w:w="-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10"/>
    </w:tblGrid>
    <w:tr w:rsidR="004B7E44" w14:paraId="6E58975A" w14:textId="77777777" w:rsidTr="004B7E44">
      <w:trPr>
        <w:trHeight w:val="1318"/>
      </w:trPr>
      <w:tc>
        <w:tcPr>
          <w:tcW w:w="12210" w:type="dxa"/>
          <w:tcBorders>
            <w:top w:val="nil"/>
            <w:left w:val="nil"/>
            <w:bottom w:val="nil"/>
            <w:right w:val="nil"/>
          </w:tcBorders>
        </w:tcPr>
        <w:p w14:paraId="1FF753DA" w14:textId="77777777" w:rsidR="004B7E44" w:rsidRDefault="004B7E44" w:rsidP="004B7E44">
          <w:pPr>
            <w:pStyle w:val="Encabezado"/>
          </w:pPr>
          <w:r>
            <w:rPr>
              <w:noProof/>
              <w:lang w:val="en-US"/>
            </w:rPr>
            <mc:AlternateContent>
              <mc:Choice Requires="wps">
                <w:drawing>
                  <wp:inline distT="0" distB="0" distL="0" distR="0" wp14:anchorId="2EAC084A" wp14:editId="18C6BB47">
                    <wp:extent cx="1352282" cy="592428"/>
                    <wp:effectExtent l="0" t="0" r="635" b="0"/>
                    <wp:docPr id="11" name="Rectángulo 11"/>
                    <wp:cNvGraphicFramePr/>
                    <a:graphic xmlns:a="http://schemas.openxmlformats.org/drawingml/2006/main">
                      <a:graphicData uri="http://schemas.microsoft.com/office/word/2010/wordprocessingShape">
                        <wps:wsp>
                          <wps:cNvSpPr/>
                          <wps:spPr>
                            <a:xfrm>
                              <a:off x="0" y="0"/>
                              <a:ext cx="1352282" cy="592428"/>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66BE70" w14:textId="70EBE87D" w:rsidR="004B7E44" w:rsidRPr="004B7E44" w:rsidRDefault="004B7E44" w:rsidP="004B7E44">
                                <w:pPr>
                                  <w:jc w:val="center"/>
                                  <w:rPr>
                                    <w:b/>
                                  </w:rPr>
                                </w:pPr>
                                <w:r w:rsidRPr="004B7E44">
                                  <w:rPr>
                                    <w:b/>
                                    <w:lang w:bidi="es-ES"/>
                                  </w:rPr>
                                  <w:fldChar w:fldCharType="begin"/>
                                </w:r>
                                <w:r w:rsidRPr="004B7E44">
                                  <w:rPr>
                                    <w:b/>
                                    <w:lang w:bidi="es-ES"/>
                                  </w:rPr>
                                  <w:instrText xml:space="preserve"> PAGE  \* Arabic  \* MERGEFORMAT </w:instrText>
                                </w:r>
                                <w:r w:rsidRPr="004B7E44">
                                  <w:rPr>
                                    <w:b/>
                                    <w:lang w:bidi="es-ES"/>
                                  </w:rPr>
                                  <w:fldChar w:fldCharType="separate"/>
                                </w:r>
                                <w:r w:rsidR="00863C49">
                                  <w:rPr>
                                    <w:b/>
                                    <w:noProof/>
                                    <w:lang w:bidi="es-ES"/>
                                  </w:rPr>
                                  <w:t>2</w:t>
                                </w:r>
                                <w:r w:rsidRPr="004B7E44">
                                  <w:rPr>
                                    <w:b/>
                                    <w:lang w:bidi="es-ES"/>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AC084A" id="Rectángulo 11" o:spid="_x0000_s1031" style="width:106.5pt;height:46.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" fillcolor="#a5300f [3204]" stroked="f" strokeweight="2pt">
                    <v:textbox>
                      <w:txbxContent>
                        <w:p w14:paraId="6466BE70" w14:textId="70EBE87D" w:rsidR="004B7E44" w:rsidRPr="004B7E44" w:rsidRDefault="004B7E44" w:rsidP="004B7E44">
                          <w:pPr>
                            <w:jc w:val="center"/>
                            <w:rPr>
                              <w:b/>
                            </w:rPr>
                          </w:pPr>
                          <w:r w:rsidRPr="004B7E44">
                            <w:rPr>
                              <w:b/>
                              <w:lang w:bidi="es-ES"/>
                            </w:rPr>
                            <w:fldChar w:fldCharType="begin"/>
                          </w:r>
                          <w:r w:rsidRPr="004B7E44">
                            <w:rPr>
                              <w:b/>
                              <w:lang w:bidi="es-ES"/>
                            </w:rPr>
                            <w:instrText xml:space="preserve"> PAGE  \* Arabic  \* MERGEFORMAT </w:instrText>
                          </w:r>
                          <w:r w:rsidRPr="004B7E44">
                            <w:rPr>
                              <w:b/>
                              <w:lang w:bidi="es-ES"/>
                            </w:rPr>
                            <w:fldChar w:fldCharType="separate"/>
                          </w:r>
                          <w:r w:rsidR="00863C49">
                            <w:rPr>
                              <w:b/>
                              <w:noProof/>
                              <w:lang w:bidi="es-ES"/>
                            </w:rPr>
                            <w:t>2</w:t>
                          </w:r>
                          <w:r w:rsidRPr="004B7E44">
                            <w:rPr>
                              <w:b/>
                              <w:lang w:bidi="es-ES"/>
                            </w:rPr>
                            <w:fldChar w:fldCharType="end"/>
                          </w:r>
                        </w:p>
                      </w:txbxContent>
                    </v:textbox>
                    <w10:anchorlock/>
                  </v:rect>
                </w:pict>
              </mc:Fallback>
            </mc:AlternateContent>
          </w:r>
          <w:r w:rsidR="00460218">
            <w:t xml:space="preserve">                                                                                                </w:t>
          </w:r>
          <w:r w:rsidR="00460218" w:rsidRPr="00A869C7">
            <w:rPr>
              <w:rFonts w:eastAsia="Calibri"/>
              <w:noProof/>
              <w:lang w:val="en-US"/>
            </w:rPr>
            <w:drawing>
              <wp:inline distT="0" distB="0" distL="0" distR="0" wp14:anchorId="1B0B55B5" wp14:editId="1CE3BC19">
                <wp:extent cx="685800" cy="612436"/>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0-01-01 at 9.28.20 AM.jpeg"/>
                        <pic:cNvPicPr/>
                      </pic:nvPicPr>
                      <pic:blipFill>
                        <a:blip r:embed="rId1">
                          <a:extLst>
                            <a:ext uri="{28A0092B-C50C-407E-A947-70E740481C1C}">
                              <a14:useLocalDpi xmlns:a14="http://schemas.microsoft.com/office/drawing/2010/main" val="0"/>
                            </a:ext>
                          </a:extLst>
                        </a:blip>
                        <a:stretch>
                          <a:fillRect/>
                        </a:stretch>
                      </pic:blipFill>
                      <pic:spPr>
                        <a:xfrm>
                          <a:off x="0" y="0"/>
                          <a:ext cx="731767" cy="653486"/>
                        </a:xfrm>
                        <a:prstGeom prst="rect">
                          <a:avLst/>
                        </a:prstGeom>
                      </pic:spPr>
                    </pic:pic>
                  </a:graphicData>
                </a:graphic>
              </wp:inline>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823F7"/>
    <w:multiLevelType w:val="hybridMultilevel"/>
    <w:tmpl w:val="57967AD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3C2805C7"/>
    <w:multiLevelType w:val="hybridMultilevel"/>
    <w:tmpl w:val="04AC72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5BF"/>
    <w:rsid w:val="00003B83"/>
    <w:rsid w:val="00054A08"/>
    <w:rsid w:val="00057D59"/>
    <w:rsid w:val="0009323F"/>
    <w:rsid w:val="0009578A"/>
    <w:rsid w:val="000D0422"/>
    <w:rsid w:val="000F0545"/>
    <w:rsid w:val="00122629"/>
    <w:rsid w:val="00164E89"/>
    <w:rsid w:val="001744AB"/>
    <w:rsid w:val="0017752A"/>
    <w:rsid w:val="00190B74"/>
    <w:rsid w:val="001D26CE"/>
    <w:rsid w:val="00212888"/>
    <w:rsid w:val="00227070"/>
    <w:rsid w:val="00242C5E"/>
    <w:rsid w:val="00270B8A"/>
    <w:rsid w:val="0029136D"/>
    <w:rsid w:val="00293B83"/>
    <w:rsid w:val="002C0B64"/>
    <w:rsid w:val="002C423A"/>
    <w:rsid w:val="002E7EBC"/>
    <w:rsid w:val="002F4AC3"/>
    <w:rsid w:val="003175B2"/>
    <w:rsid w:val="003615D4"/>
    <w:rsid w:val="0038197E"/>
    <w:rsid w:val="003A0EA4"/>
    <w:rsid w:val="003B2A3A"/>
    <w:rsid w:val="003D579E"/>
    <w:rsid w:val="00402898"/>
    <w:rsid w:val="00412369"/>
    <w:rsid w:val="00440EBB"/>
    <w:rsid w:val="00441796"/>
    <w:rsid w:val="00460218"/>
    <w:rsid w:val="0046072C"/>
    <w:rsid w:val="00476DC9"/>
    <w:rsid w:val="004914F9"/>
    <w:rsid w:val="00492A2C"/>
    <w:rsid w:val="004B7E44"/>
    <w:rsid w:val="004D0925"/>
    <w:rsid w:val="004D4BFE"/>
    <w:rsid w:val="004D5252"/>
    <w:rsid w:val="004E32DB"/>
    <w:rsid w:val="004F2B86"/>
    <w:rsid w:val="004F6ACF"/>
    <w:rsid w:val="004F7B6D"/>
    <w:rsid w:val="005179C0"/>
    <w:rsid w:val="0052197B"/>
    <w:rsid w:val="00534011"/>
    <w:rsid w:val="005558E1"/>
    <w:rsid w:val="00555AD0"/>
    <w:rsid w:val="0055726A"/>
    <w:rsid w:val="00561C05"/>
    <w:rsid w:val="005646A4"/>
    <w:rsid w:val="005968AC"/>
    <w:rsid w:val="005A718F"/>
    <w:rsid w:val="00615DE8"/>
    <w:rsid w:val="00627B77"/>
    <w:rsid w:val="0064327C"/>
    <w:rsid w:val="006931EB"/>
    <w:rsid w:val="006A3CE7"/>
    <w:rsid w:val="006D007E"/>
    <w:rsid w:val="006D3A5E"/>
    <w:rsid w:val="00721B40"/>
    <w:rsid w:val="007308A3"/>
    <w:rsid w:val="00733154"/>
    <w:rsid w:val="00735BAA"/>
    <w:rsid w:val="007364E7"/>
    <w:rsid w:val="007456BF"/>
    <w:rsid w:val="007516CF"/>
    <w:rsid w:val="00771B43"/>
    <w:rsid w:val="00777AAA"/>
    <w:rsid w:val="0078061D"/>
    <w:rsid w:val="00797430"/>
    <w:rsid w:val="007D4ABF"/>
    <w:rsid w:val="007E4E20"/>
    <w:rsid w:val="007F7504"/>
    <w:rsid w:val="008004C2"/>
    <w:rsid w:val="00810440"/>
    <w:rsid w:val="00863C49"/>
    <w:rsid w:val="008943D8"/>
    <w:rsid w:val="008B33BC"/>
    <w:rsid w:val="008B6F97"/>
    <w:rsid w:val="008C25B1"/>
    <w:rsid w:val="008E2468"/>
    <w:rsid w:val="008E3DE0"/>
    <w:rsid w:val="008E4FB3"/>
    <w:rsid w:val="008F7747"/>
    <w:rsid w:val="00900E05"/>
    <w:rsid w:val="00903DB7"/>
    <w:rsid w:val="009120E9"/>
    <w:rsid w:val="00926545"/>
    <w:rsid w:val="00945900"/>
    <w:rsid w:val="009672CF"/>
    <w:rsid w:val="00985A6B"/>
    <w:rsid w:val="00985AC1"/>
    <w:rsid w:val="009904D8"/>
    <w:rsid w:val="009B07B3"/>
    <w:rsid w:val="009C396C"/>
    <w:rsid w:val="009C71B3"/>
    <w:rsid w:val="009F6635"/>
    <w:rsid w:val="00A00D33"/>
    <w:rsid w:val="00A14F25"/>
    <w:rsid w:val="00A331FC"/>
    <w:rsid w:val="00A561CB"/>
    <w:rsid w:val="00AA1721"/>
    <w:rsid w:val="00AD19F5"/>
    <w:rsid w:val="00AD39D6"/>
    <w:rsid w:val="00AF5BC0"/>
    <w:rsid w:val="00B06D33"/>
    <w:rsid w:val="00B23DBB"/>
    <w:rsid w:val="00B357ED"/>
    <w:rsid w:val="00B371BD"/>
    <w:rsid w:val="00B42DEF"/>
    <w:rsid w:val="00B572B4"/>
    <w:rsid w:val="00B61C56"/>
    <w:rsid w:val="00B661C0"/>
    <w:rsid w:val="00B742AB"/>
    <w:rsid w:val="00B83047"/>
    <w:rsid w:val="00B84D8D"/>
    <w:rsid w:val="00BA46F6"/>
    <w:rsid w:val="00BB35BF"/>
    <w:rsid w:val="00BB44E5"/>
    <w:rsid w:val="00BB55A9"/>
    <w:rsid w:val="00BC2A08"/>
    <w:rsid w:val="00BD3074"/>
    <w:rsid w:val="00BD7ACB"/>
    <w:rsid w:val="00BE242C"/>
    <w:rsid w:val="00BE2C09"/>
    <w:rsid w:val="00BE55D8"/>
    <w:rsid w:val="00C01025"/>
    <w:rsid w:val="00C53B29"/>
    <w:rsid w:val="00C86177"/>
    <w:rsid w:val="00C91AA6"/>
    <w:rsid w:val="00CA7A2A"/>
    <w:rsid w:val="00CB7F1C"/>
    <w:rsid w:val="00CD1DCA"/>
    <w:rsid w:val="00CD66D3"/>
    <w:rsid w:val="00CF07A5"/>
    <w:rsid w:val="00CF71D9"/>
    <w:rsid w:val="00D377BB"/>
    <w:rsid w:val="00D45D52"/>
    <w:rsid w:val="00D50B5E"/>
    <w:rsid w:val="00D77388"/>
    <w:rsid w:val="00D77A20"/>
    <w:rsid w:val="00D83A02"/>
    <w:rsid w:val="00DB26A7"/>
    <w:rsid w:val="00DB4F26"/>
    <w:rsid w:val="00DD5A56"/>
    <w:rsid w:val="00DF538C"/>
    <w:rsid w:val="00E00D47"/>
    <w:rsid w:val="00E176F2"/>
    <w:rsid w:val="00E76CAD"/>
    <w:rsid w:val="00E812B3"/>
    <w:rsid w:val="00E912C4"/>
    <w:rsid w:val="00E94B5F"/>
    <w:rsid w:val="00ED310F"/>
    <w:rsid w:val="00ED7488"/>
    <w:rsid w:val="00EF2020"/>
    <w:rsid w:val="00F02687"/>
    <w:rsid w:val="00F1381B"/>
    <w:rsid w:val="00F36752"/>
    <w:rsid w:val="00F448A6"/>
    <w:rsid w:val="00F55531"/>
    <w:rsid w:val="00FB58C3"/>
    <w:rsid w:val="00FD270A"/>
    <w:rsid w:val="00FF0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3A1F6"/>
  <w15:chartTrackingRefBased/>
  <w15:docId w15:val="{5C88E08E-5A3C-400F-A88D-63B82DC8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E44"/>
    <w:pPr>
      <w:spacing w:after="0"/>
    </w:pPr>
    <w:rPr>
      <w:rFonts w:eastAsiaTheme="minorEastAsia"/>
      <w:color w:val="FFFFFF" w:themeColor="background1"/>
      <w:sz w:val="28"/>
      <w:szCs w:val="22"/>
    </w:rPr>
  </w:style>
  <w:style w:type="paragraph" w:styleId="Ttulo1">
    <w:name w:val="heading 1"/>
    <w:basedOn w:val="Normal"/>
    <w:link w:val="Ttulo1Car"/>
    <w:uiPriority w:val="2"/>
    <w:qFormat/>
    <w:rsid w:val="004B7E44"/>
    <w:pPr>
      <w:keepNext/>
      <w:outlineLvl w:val="0"/>
    </w:pPr>
    <w:rPr>
      <w:rFonts w:asciiTheme="majorHAnsi" w:eastAsia="Times New Roman" w:hAnsiTheme="majorHAnsi" w:cs="Times New Roman"/>
      <w:b/>
      <w:sz w:val="48"/>
      <w:szCs w:val="24"/>
    </w:rPr>
  </w:style>
  <w:style w:type="paragraph" w:styleId="Ttulo2">
    <w:name w:val="heading 2"/>
    <w:basedOn w:val="Normal"/>
    <w:link w:val="Ttulo2Car"/>
    <w:uiPriority w:val="2"/>
    <w:unhideWhenUsed/>
    <w:qFormat/>
    <w:rsid w:val="004B7E44"/>
    <w:pPr>
      <w:keepNext/>
      <w:spacing w:line="240" w:lineRule="auto"/>
      <w:outlineLvl w:val="1"/>
    </w:pPr>
    <w:rPr>
      <w:rFonts w:asciiTheme="majorHAnsi" w:eastAsia="Times New Roman" w:hAnsiTheme="majorHAnsi" w:cs="Times New Roman"/>
      <w:b/>
      <w:color w:val="auto"/>
      <w:sz w:val="52"/>
    </w:rPr>
  </w:style>
  <w:style w:type="paragraph" w:styleId="Ttulo3">
    <w:name w:val="heading 3"/>
    <w:basedOn w:val="Normal"/>
    <w:link w:val="Ttulo3Car"/>
    <w:uiPriority w:val="2"/>
    <w:unhideWhenUsed/>
    <w:qFormat/>
    <w:rsid w:val="004B7E44"/>
    <w:pPr>
      <w:spacing w:line="240" w:lineRule="auto"/>
      <w:outlineLvl w:val="2"/>
    </w:pPr>
    <w:rPr>
      <w:rFonts w:asciiTheme="majorHAnsi" w:eastAsia="Times New Roman" w:hAnsiTheme="majorHAnsi" w:cs="Times New Roman"/>
      <w:i/>
      <w:color w:val="auto"/>
      <w:sz w:val="24"/>
    </w:rPr>
  </w:style>
  <w:style w:type="paragraph" w:styleId="Ttulo4">
    <w:name w:val="heading 4"/>
    <w:basedOn w:val="Normal"/>
    <w:link w:val="Ttulo4Car"/>
    <w:uiPriority w:val="2"/>
    <w:unhideWhenUsed/>
    <w:qFormat/>
    <w:rsid w:val="004B7E44"/>
    <w:pPr>
      <w:keepNext/>
      <w:keepLines/>
      <w:spacing w:before="240" w:after="40" w:line="240" w:lineRule="auto"/>
      <w:outlineLvl w:val="3"/>
    </w:pPr>
    <w:rPr>
      <w:rFonts w:eastAsia="Times New Roman" w:cs="Times New Roman"/>
      <w:b/>
      <w:caps/>
      <w:color w:val="000000" w:themeColor="text1"/>
      <w:spacing w:val="20"/>
      <w:kern w:val="28"/>
      <w:sz w:val="24"/>
    </w:rPr>
  </w:style>
  <w:style w:type="paragraph" w:styleId="Ttulo5">
    <w:name w:val="heading 5"/>
    <w:basedOn w:val="Normal"/>
    <w:next w:val="Normal"/>
    <w:link w:val="Ttulo5Car"/>
    <w:uiPriority w:val="2"/>
    <w:semiHidden/>
    <w:unhideWhenUsed/>
    <w:qFormat/>
    <w:rsid w:val="005A718F"/>
    <w:pPr>
      <w:keepNext/>
      <w:keepLines/>
      <w:spacing w:line="240" w:lineRule="atLeast"/>
      <w:ind w:left="1440"/>
      <w:outlineLvl w:val="4"/>
    </w:pPr>
    <w:rPr>
      <w:rFonts w:eastAsia="Times New Roman" w:cs="Times New Roman"/>
      <w:spacing w:val="-4"/>
      <w:kern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2"/>
    <w:rsid w:val="004B7E44"/>
    <w:rPr>
      <w:rFonts w:asciiTheme="majorHAnsi" w:eastAsia="Times New Roman" w:hAnsiTheme="majorHAnsi" w:cs="Times New Roman"/>
      <w:b/>
      <w:color w:val="FFFFFF" w:themeColor="background1"/>
      <w:sz w:val="48"/>
      <w:szCs w:val="24"/>
    </w:rPr>
  </w:style>
  <w:style w:type="paragraph" w:styleId="Ttulo">
    <w:name w:val="Title"/>
    <w:basedOn w:val="Normal"/>
    <w:link w:val="TtuloCar"/>
    <w:uiPriority w:val="1"/>
    <w:qFormat/>
    <w:rsid w:val="009B07B3"/>
    <w:pPr>
      <w:spacing w:line="240" w:lineRule="auto"/>
      <w:contextualSpacing/>
    </w:pPr>
    <w:rPr>
      <w:rFonts w:asciiTheme="majorHAnsi" w:eastAsia="Times New Roman" w:hAnsiTheme="majorHAnsi" w:cs="Times New Roman"/>
      <w:b/>
      <w:caps/>
      <w:sz w:val="80"/>
      <w:szCs w:val="40"/>
    </w:rPr>
  </w:style>
  <w:style w:type="character" w:customStyle="1" w:styleId="TtuloCar">
    <w:name w:val="Título Car"/>
    <w:basedOn w:val="Fuentedeprrafopredeter"/>
    <w:link w:val="Ttulo"/>
    <w:uiPriority w:val="1"/>
    <w:rsid w:val="009B07B3"/>
    <w:rPr>
      <w:rFonts w:asciiTheme="majorHAnsi" w:eastAsia="Times New Roman" w:hAnsiTheme="majorHAnsi" w:cs="Times New Roman"/>
      <w:b/>
      <w:caps/>
      <w:color w:val="FFFFFF" w:themeColor="background1"/>
      <w:sz w:val="80"/>
      <w:szCs w:val="40"/>
    </w:rPr>
  </w:style>
  <w:style w:type="paragraph" w:styleId="Subttulo">
    <w:name w:val="Subtitle"/>
    <w:basedOn w:val="Normal"/>
    <w:link w:val="SubttuloCar"/>
    <w:uiPriority w:val="4"/>
    <w:qFormat/>
    <w:rsid w:val="004B7E44"/>
    <w:pPr>
      <w:contextualSpacing/>
    </w:pPr>
    <w:rPr>
      <w:rFonts w:eastAsia="Times New Roman" w:cs="Times New Roman"/>
      <w:b/>
      <w:sz w:val="72"/>
    </w:rPr>
  </w:style>
  <w:style w:type="character" w:customStyle="1" w:styleId="SubttuloCar">
    <w:name w:val="Subtítulo Car"/>
    <w:basedOn w:val="Fuentedeprrafopredeter"/>
    <w:link w:val="Subttulo"/>
    <w:uiPriority w:val="4"/>
    <w:rsid w:val="004B7E44"/>
    <w:rPr>
      <w:rFonts w:eastAsia="Times New Roman" w:cs="Times New Roman"/>
      <w:color w:val="FFFFFF" w:themeColor="background1"/>
      <w:sz w:val="72"/>
      <w:szCs w:val="22"/>
    </w:rPr>
  </w:style>
  <w:style w:type="paragraph" w:styleId="Sinespaciado">
    <w:name w:val="No Spacing"/>
    <w:uiPriority w:val="1"/>
    <w:unhideWhenUsed/>
    <w:qFormat/>
    <w:rsid w:val="005A718F"/>
    <w:pPr>
      <w:spacing w:after="0"/>
    </w:pPr>
    <w:rPr>
      <w:rFonts w:eastAsia="Times New Roman" w:cs="Times New Roman"/>
      <w:spacing w:val="10"/>
    </w:rPr>
  </w:style>
  <w:style w:type="character" w:customStyle="1" w:styleId="Ttulo2Car">
    <w:name w:val="Título 2 Car"/>
    <w:basedOn w:val="Fuentedeprrafopredeter"/>
    <w:link w:val="Ttulo2"/>
    <w:uiPriority w:val="2"/>
    <w:rsid w:val="004B7E44"/>
    <w:rPr>
      <w:rFonts w:asciiTheme="majorHAnsi" w:eastAsia="Times New Roman" w:hAnsiTheme="majorHAnsi" w:cs="Times New Roman"/>
      <w:b/>
      <w:sz w:val="52"/>
      <w:szCs w:val="22"/>
    </w:rPr>
  </w:style>
  <w:style w:type="character" w:customStyle="1" w:styleId="Ttulo3Car">
    <w:name w:val="Título 3 Car"/>
    <w:basedOn w:val="Fuentedeprrafopredeter"/>
    <w:link w:val="Ttulo3"/>
    <w:uiPriority w:val="2"/>
    <w:rsid w:val="004B7E44"/>
    <w:rPr>
      <w:rFonts w:asciiTheme="majorHAnsi" w:eastAsia="Times New Roman" w:hAnsiTheme="majorHAnsi" w:cs="Times New Roman"/>
      <w:i/>
      <w:sz w:val="24"/>
      <w:szCs w:val="22"/>
    </w:rPr>
  </w:style>
  <w:style w:type="character" w:customStyle="1" w:styleId="Ttulo4Car">
    <w:name w:val="Título 4 Car"/>
    <w:basedOn w:val="Fuentedeprrafopredeter"/>
    <w:link w:val="Ttulo4"/>
    <w:uiPriority w:val="2"/>
    <w:rsid w:val="004B7E44"/>
    <w:rPr>
      <w:rFonts w:eastAsia="Times New Roman" w:cs="Times New Roman"/>
      <w:b/>
      <w:caps/>
      <w:color w:val="000000" w:themeColor="text1"/>
      <w:spacing w:val="20"/>
      <w:kern w:val="28"/>
      <w:sz w:val="24"/>
      <w:szCs w:val="22"/>
    </w:rPr>
  </w:style>
  <w:style w:type="paragraph" w:customStyle="1" w:styleId="Captulo">
    <w:name w:val="Capítulo"/>
    <w:basedOn w:val="Normal"/>
    <w:uiPriority w:val="5"/>
    <w:unhideWhenUsed/>
    <w:qFormat/>
    <w:rsid w:val="00E76CAD"/>
    <w:pPr>
      <w:spacing w:before="20"/>
    </w:pPr>
    <w:rPr>
      <w:rFonts w:asciiTheme="majorHAnsi" w:eastAsia="Times New Roman" w:hAnsiTheme="majorHAnsi" w:cs="Times New Roman"/>
      <w:caps/>
      <w:color w:val="595959" w:themeColor="text1" w:themeTint="A6"/>
      <w:szCs w:val="17"/>
    </w:rPr>
  </w:style>
  <w:style w:type="character" w:customStyle="1" w:styleId="Ttulo5Car">
    <w:name w:val="Título 5 Car"/>
    <w:basedOn w:val="Fuentedeprrafopredeter"/>
    <w:link w:val="Ttulo5"/>
    <w:uiPriority w:val="2"/>
    <w:semiHidden/>
    <w:rsid w:val="005A718F"/>
    <w:rPr>
      <w:rFonts w:eastAsia="Times New Roman" w:cs="Times New Roman"/>
      <w:spacing w:val="-4"/>
      <w:kern w:val="28"/>
      <w:sz w:val="18"/>
      <w:szCs w:val="18"/>
    </w:rPr>
  </w:style>
  <w:style w:type="paragraph" w:styleId="Encabezado">
    <w:name w:val="header"/>
    <w:basedOn w:val="Normal"/>
    <w:link w:val="EncabezadoCar"/>
    <w:uiPriority w:val="99"/>
    <w:unhideWhenUsed/>
    <w:rsid w:val="005A718F"/>
    <w:pPr>
      <w:spacing w:line="240" w:lineRule="auto"/>
    </w:pPr>
  </w:style>
  <w:style w:type="character" w:customStyle="1" w:styleId="EncabezadoCar">
    <w:name w:val="Encabezado Car"/>
    <w:basedOn w:val="Fuentedeprrafopredeter"/>
    <w:link w:val="Encabezado"/>
    <w:uiPriority w:val="99"/>
    <w:rsid w:val="005A718F"/>
  </w:style>
  <w:style w:type="paragraph" w:styleId="Piedepgina">
    <w:name w:val="footer"/>
    <w:basedOn w:val="Normal"/>
    <w:link w:val="PiedepginaCar"/>
    <w:uiPriority w:val="99"/>
    <w:unhideWhenUsed/>
    <w:rsid w:val="005A718F"/>
    <w:pPr>
      <w:spacing w:line="240" w:lineRule="auto"/>
      <w:jc w:val="center"/>
    </w:pPr>
  </w:style>
  <w:style w:type="character" w:customStyle="1" w:styleId="PiedepginaCar">
    <w:name w:val="Pie de página Car"/>
    <w:basedOn w:val="Fuentedeprrafopredeter"/>
    <w:link w:val="Piedepgina"/>
    <w:uiPriority w:val="99"/>
    <w:rsid w:val="005A718F"/>
  </w:style>
  <w:style w:type="character" w:styleId="Textodelmarcadordeposicin">
    <w:name w:val="Placeholder Text"/>
    <w:basedOn w:val="Fuentedeprrafopredeter"/>
    <w:uiPriority w:val="99"/>
    <w:semiHidden/>
    <w:rsid w:val="00945900"/>
    <w:rPr>
      <w:color w:val="808080"/>
    </w:rPr>
  </w:style>
  <w:style w:type="paragraph" w:styleId="Prrafodelista">
    <w:name w:val="List Paragraph"/>
    <w:basedOn w:val="Normal"/>
    <w:uiPriority w:val="34"/>
    <w:unhideWhenUsed/>
    <w:qFormat/>
    <w:rsid w:val="003A0EA4"/>
    <w:pPr>
      <w:ind w:left="720"/>
      <w:contextualSpacing/>
    </w:pPr>
  </w:style>
  <w:style w:type="paragraph" w:customStyle="1" w:styleId="Texto">
    <w:name w:val="Texto"/>
    <w:basedOn w:val="Normal"/>
    <w:uiPriority w:val="5"/>
    <w:qFormat/>
    <w:rsid w:val="00BE242C"/>
    <w:pPr>
      <w:spacing w:line="240" w:lineRule="auto"/>
    </w:pPr>
    <w:rPr>
      <w:rFonts w:eastAsiaTheme="minorHAnsi"/>
      <w:i/>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24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rique.vaquiro\AppData\Roaming\Microsoft\Plantillas\Informe%20empresarial%20(dise&#241;o%20Profesional).dotx" TargetMode="External"/></Relationships>
</file>

<file path=word/theme/theme1.xml><?xml version="1.0" encoding="utf-8"?>
<a:theme xmlns:a="http://schemas.openxmlformats.org/drawingml/2006/main" name="Theme2">
  <a:themeElements>
    <a:clrScheme name="Rojo">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Custom 18">
      <a:majorFont>
        <a:latin typeface="Franklin Gothic Book"/>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Informe empresarial (diseño Profesional).dotx</Template>
  <TotalTime>1</TotalTime>
  <Pages>8</Pages>
  <Words>2039</Words>
  <Characters>11625</Characters>
  <Application>Microsoft Office Word</Application>
  <DocSecurity>0</DocSecurity>
  <Lines>96</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Vaquiro Capera</dc:creator>
  <cp:keywords/>
  <dc:description/>
  <cp:lastModifiedBy>User</cp:lastModifiedBy>
  <cp:revision>2</cp:revision>
  <dcterms:created xsi:type="dcterms:W3CDTF">2022-08-31T22:08:00Z</dcterms:created>
  <dcterms:modified xsi:type="dcterms:W3CDTF">2022-08-31T22:08:00Z</dcterms:modified>
</cp:coreProperties>
</file>